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E90B" w14:textId="0922441B" w:rsidR="00D07C27" w:rsidRPr="00D57B30" w:rsidRDefault="00F24480" w:rsidP="008246F4">
      <w:pPr>
        <w:pStyle w:val="Heading1"/>
        <w:ind w:right="545"/>
        <w:rPr>
          <w:color w:val="1F4E79" w:themeColor="accent1" w:themeShade="80"/>
        </w:rPr>
      </w:pPr>
      <w:r>
        <w:rPr>
          <w:color w:val="1F4E79" w:themeColor="accent1" w:themeShade="80"/>
        </w:rPr>
        <w:t>Point 23 de l’ordre du jour : m</w:t>
      </w:r>
      <w:r w:rsidR="00D57B30">
        <w:rPr>
          <w:color w:val="1F4E79" w:themeColor="accent1" w:themeShade="80"/>
        </w:rPr>
        <w:t>ise à jour et discussions concernant l'intégration et le soutien aux déplacements du GAC</w:t>
      </w:r>
    </w:p>
    <w:p w14:paraId="3E46E303" w14:textId="00C87D12" w:rsidR="00AA78F5" w:rsidRPr="00AA78F5" w:rsidRDefault="00AA78F5" w:rsidP="00EE2665">
      <w:pPr>
        <w:pStyle w:val="Heading2"/>
        <w:rPr>
          <w:sz w:val="20"/>
          <w:szCs w:val="20"/>
        </w:rPr>
      </w:pPr>
      <w:r>
        <w:rPr>
          <w:sz w:val="20"/>
        </w:rPr>
        <w:t xml:space="preserve">Note : </w:t>
      </w:r>
      <w:r>
        <w:rPr>
          <w:b w:val="0"/>
          <w:color w:val="auto"/>
          <w:sz w:val="20"/>
        </w:rPr>
        <w:t>le présent document a été préparé</w:t>
      </w:r>
      <w:r w:rsidR="00F24480">
        <w:rPr>
          <w:b w:val="0"/>
          <w:color w:val="auto"/>
          <w:sz w:val="20"/>
        </w:rPr>
        <w:t xml:space="preserve"> </w:t>
      </w:r>
      <w:r>
        <w:rPr>
          <w:b w:val="0"/>
          <w:color w:val="auto"/>
          <w:sz w:val="20"/>
        </w:rPr>
        <w:t>par le personnel de soutien de l’ICANN.</w:t>
      </w:r>
    </w:p>
    <w:p w14:paraId="527317F7" w14:textId="7E592E01" w:rsidR="007F47EB" w:rsidRDefault="00F60D91" w:rsidP="00EE2665">
      <w:pPr>
        <w:pStyle w:val="Heading2"/>
      </w:pPr>
      <w:r>
        <w:t>Problématique</w:t>
      </w:r>
    </w:p>
    <w:p w14:paraId="205CFAA1" w14:textId="77777777" w:rsidR="00AA78F5" w:rsidRDefault="00AA78F5" w:rsidP="00AA78F5">
      <w:pPr>
        <w:pStyle w:val="Heading3"/>
        <w:jc w:val="both"/>
        <w:rPr>
          <w:color w:val="1155CC"/>
          <w:sz w:val="22"/>
        </w:rPr>
      </w:pPr>
      <w:r>
        <w:rPr>
          <w:color w:val="1155CC"/>
          <w:sz w:val="22"/>
        </w:rPr>
        <w:t>Intégration du GAC</w:t>
      </w:r>
      <w:bookmarkStart w:id="0" w:name="_GoBack"/>
      <w:bookmarkEnd w:id="0"/>
    </w:p>
    <w:p w14:paraId="2A07C775" w14:textId="77777777" w:rsidR="00AA78F5" w:rsidRDefault="00AA78F5" w:rsidP="00AA78F5">
      <w:pPr>
        <w:pStyle w:val="Heading3"/>
        <w:rPr>
          <w:b w:val="0"/>
          <w:color w:val="000000"/>
          <w:sz w:val="22"/>
        </w:rPr>
      </w:pPr>
      <w:bookmarkStart w:id="1" w:name="_h8ydohwrf0ci"/>
      <w:bookmarkEnd w:id="1"/>
      <w:r>
        <w:rPr>
          <w:b w:val="0"/>
          <w:color w:val="000000"/>
          <w:sz w:val="22"/>
        </w:rPr>
        <w:t>Ces deux dernières années, les membres du groupe de travail du GAC chargé des régions faiblement desservies, l'équipe chargée de la relation avec les gouvernements, le département en charge de la relation avec les parties prenantes mondiales et le personnel de soutien du GAC ont travaillé au développement de nouvelles méthodes pour améliorer le partage d'informations pour les participants du GAC (les nouveaux venus et les membres expérimentés) concernant le travail du GAC et le rôle du comité au sein de la communauté de l'ICANN.</w:t>
      </w:r>
    </w:p>
    <w:p w14:paraId="077BAC99" w14:textId="1CCD4604"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hAnsi="Century Gothic"/>
          <w:sz w:val="22"/>
        </w:rPr>
        <w:t>Ces derniers mois (depuis la réunion ICANN61), vingt-deux (22) nouveaux représentants des membres ont rejoint le GAC.</w:t>
      </w:r>
      <w:r w:rsidR="00F24480">
        <w:rPr>
          <w:rFonts w:ascii="Century Gothic" w:hAnsi="Century Gothic"/>
          <w:sz w:val="22"/>
        </w:rPr>
        <w:t xml:space="preserve"> </w:t>
      </w:r>
      <w:r>
        <w:rPr>
          <w:rFonts w:ascii="Century Gothic" w:hAnsi="Century Gothic"/>
          <w:sz w:val="22"/>
        </w:rPr>
        <w:t xml:space="preserve">Compte tenu du roulement important des participants du GAC, il est essentiel que l'ensemble des nouveaux venus bénéficient d'une intégration appropriée, apprennent les questions et sujets importants pour le GAC et obtiennent des conseils sur la manière de contribuer le plus efficacement au GAC dans son rôle de conseiller au sein de la communauté de l'ICANN. </w:t>
      </w:r>
    </w:p>
    <w:p w14:paraId="2E991BEF"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hAnsi="Century Gothic"/>
          <w:sz w:val="22"/>
        </w:rPr>
        <w:t>Pour aider et soutenir les nouveaux membres du GAC, les observateurs et représentants, trois initiatives pilotes majeurs ont été mises en place.</w:t>
      </w:r>
    </w:p>
    <w:p w14:paraId="42D17C10"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hAnsi="Century Gothic"/>
          <w:b/>
          <w:sz w:val="22"/>
        </w:rPr>
        <w:t>1 - Ateliers de renforcement des capacités</w:t>
      </w:r>
      <w:r>
        <w:rPr>
          <w:rFonts w:ascii="Century Gothic" w:eastAsia="Century Gothic" w:hAnsi="Century Gothic" w:cs="Century Gothic"/>
          <w:sz w:val="22"/>
          <w:szCs w:val="22"/>
        </w:rPr>
        <w:br/>
      </w:r>
      <w:hyperlink r:id="rId8">
        <w:r>
          <w:rPr>
            <w:rFonts w:ascii="Century Gothic" w:hAnsi="Century Gothic"/>
            <w:color w:val="1155CC"/>
            <w:sz w:val="22"/>
            <w:u w:val="single"/>
          </w:rPr>
          <w:t>https://gac.icann.org/activity/gac-capacity-development-workshops-2017-2018</w:t>
        </w:r>
      </w:hyperlink>
      <w:r>
        <w:rPr>
          <w:rFonts w:ascii="Century Gothic" w:hAnsi="Century Gothic"/>
          <w:sz w:val="22"/>
        </w:rPr>
        <w:t xml:space="preserve"> </w:t>
      </w:r>
    </w:p>
    <w:p w14:paraId="79913C4A" w14:textId="50FC8675"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hAnsi="Century Gothic"/>
          <w:sz w:val="22"/>
        </w:rPr>
        <w:t>Ce projet a été initié après l'ICANN56 à Helsinki, mené par le groupe de travail du GAC en charge des régions faiblement desservies, l'équipe en charge de la relation avec les gouvernements et le département en charge de la relation avec les parties prenantes mondiales.</w:t>
      </w:r>
      <w:r w:rsidR="00F24480">
        <w:rPr>
          <w:rFonts w:ascii="Century Gothic" w:hAnsi="Century Gothic"/>
          <w:sz w:val="22"/>
        </w:rPr>
        <w:t xml:space="preserve"> </w:t>
      </w:r>
      <w:r>
        <w:rPr>
          <w:rFonts w:ascii="Century Gothic" w:hAnsi="Century Gothic"/>
          <w:sz w:val="22"/>
        </w:rPr>
        <w:t>L'objectif de cette initiative était d'aider les représentants du GAC à mieux comprendre le modèle de communauté habilitée de l'ICANN, le rôle du GAC vis à vis de ce modèle et la manière dont le comité contribue aux divers processus d'élaboration de politiques de l'ICANN.</w:t>
      </w:r>
    </w:p>
    <w:p w14:paraId="53C2D1DA"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hAnsi="Century Gothic"/>
          <w:sz w:val="22"/>
        </w:rPr>
        <w:t>L'atelier de renforcement des capacités organisé le dimanche 24 juin à Panama City est le 8</w:t>
      </w:r>
      <w:r>
        <w:rPr>
          <w:rFonts w:ascii="Century Gothic" w:hAnsi="Century Gothic"/>
          <w:sz w:val="22"/>
          <w:vertAlign w:val="superscript"/>
        </w:rPr>
        <w:t>e</w:t>
      </w:r>
      <w:r>
        <w:rPr>
          <w:rFonts w:ascii="Century Gothic" w:hAnsi="Century Gothic"/>
          <w:sz w:val="22"/>
        </w:rPr>
        <w:t xml:space="preserve"> atelier de cette initiative. Pour en savoir plus sur ce projet et les étapes à venir, veuillez consulter le document d'information au point 2 de l'ordre du jour : rapport préliminaire sur l'atelier de renforcement des capacités du GAC.</w:t>
      </w:r>
    </w:p>
    <w:p w14:paraId="73F9727B" w14:textId="77777777" w:rsidR="00AA78F5" w:rsidRDefault="00AA78F5" w:rsidP="00AA78F5">
      <w:pPr>
        <w:pBdr>
          <w:top w:val="nil"/>
          <w:left w:val="nil"/>
          <w:bottom w:val="nil"/>
          <w:right w:val="nil"/>
          <w:between w:val="nil"/>
        </w:pBdr>
        <w:spacing w:after="200"/>
        <w:rPr>
          <w:rFonts w:ascii="Century Gothic" w:eastAsia="Century Gothic" w:hAnsi="Century Gothic" w:cs="Century Gothic"/>
          <w:sz w:val="22"/>
          <w:szCs w:val="22"/>
        </w:rPr>
      </w:pPr>
      <w:r>
        <w:rPr>
          <w:rFonts w:ascii="Century Gothic" w:hAnsi="Century Gothic"/>
          <w:b/>
          <w:sz w:val="22"/>
        </w:rPr>
        <w:t>2 - Programme pilote du GAC sur les séries de séminaires Web</w:t>
      </w:r>
      <w:r>
        <w:rPr>
          <w:rFonts w:ascii="Century Gothic" w:eastAsia="Century Gothic" w:hAnsi="Century Gothic" w:cs="Century Gothic"/>
          <w:b/>
          <w:sz w:val="22"/>
          <w:szCs w:val="22"/>
        </w:rPr>
        <w:br/>
      </w:r>
      <w:hyperlink r:id="rId9">
        <w:r>
          <w:rPr>
            <w:rFonts w:ascii="Century Gothic" w:hAnsi="Century Gothic"/>
            <w:color w:val="1155CC"/>
            <w:sz w:val="22"/>
            <w:u w:val="single"/>
          </w:rPr>
          <w:t>https://gac.icann.org/activity/gac-introductory-webinar-series-pilot-edition</w:t>
        </w:r>
      </w:hyperlink>
      <w:r>
        <w:rPr>
          <w:rFonts w:ascii="Century Gothic" w:hAnsi="Century Gothic"/>
          <w:sz w:val="22"/>
        </w:rPr>
        <w:t xml:space="preserve"> </w:t>
      </w:r>
    </w:p>
    <w:p w14:paraId="43A9D42A" w14:textId="77777777" w:rsidR="00AA78F5" w:rsidRDefault="00AA78F5" w:rsidP="00AA78F5">
      <w:pPr>
        <w:pBdr>
          <w:top w:val="nil"/>
          <w:left w:val="nil"/>
          <w:bottom w:val="nil"/>
          <w:right w:val="nil"/>
          <w:between w:val="nil"/>
        </w:pBdr>
        <w:spacing w:after="200"/>
        <w:rPr>
          <w:rFonts w:ascii="Century Gothic" w:eastAsia="Century Gothic" w:hAnsi="Century Gothic" w:cs="Century Gothic"/>
          <w:sz w:val="22"/>
          <w:szCs w:val="22"/>
        </w:rPr>
      </w:pPr>
      <w:r>
        <w:rPr>
          <w:rFonts w:ascii="Century Gothic" w:hAnsi="Century Gothic"/>
          <w:sz w:val="22"/>
        </w:rPr>
        <w:lastRenderedPageBreak/>
        <w:t>Ce projet pilote a été initié après la réunion ICANN61 suite aux discussions communautaires communes avec le GAC. Ces six dernières semaines, trois séminaires Web ont été menés :</w:t>
      </w:r>
    </w:p>
    <w:p w14:paraId="653D3648" w14:textId="029B8785" w:rsidR="00AA78F5" w:rsidRDefault="00AA78F5" w:rsidP="00AA78F5">
      <w:pPr>
        <w:numPr>
          <w:ilvl w:val="0"/>
          <w:numId w:val="39"/>
        </w:numPr>
        <w:pBdr>
          <w:top w:val="nil"/>
          <w:left w:val="nil"/>
          <w:bottom w:val="nil"/>
          <w:right w:val="nil"/>
          <w:between w:val="nil"/>
        </w:pBdr>
        <w:spacing w:after="200"/>
        <w:contextualSpacing/>
        <w:rPr>
          <w:rFonts w:ascii="Century Gothic" w:eastAsia="Century Gothic" w:hAnsi="Century Gothic" w:cs="Century Gothic"/>
          <w:sz w:val="22"/>
          <w:szCs w:val="22"/>
        </w:rPr>
      </w:pPr>
      <w:r>
        <w:rPr>
          <w:rFonts w:ascii="Century Gothic" w:hAnsi="Century Gothic"/>
          <w:sz w:val="22"/>
        </w:rPr>
        <w:t>Un aperçu concernant l'initiative relative à la transparence des informations, 15 mai (</w:t>
      </w:r>
      <w:proofErr w:type="spellStart"/>
      <w:r>
        <w:rPr>
          <w:rFonts w:ascii="Century Gothic" w:hAnsi="Century Gothic"/>
          <w:sz w:val="22"/>
        </w:rPr>
        <w:t>voi</w:t>
      </w:r>
      <w:proofErr w:type="spellEnd"/>
      <w:r w:rsidR="00F24480">
        <w:rPr>
          <w:rFonts w:ascii="Century Gothic" w:hAnsi="Century Gothic"/>
          <w:sz w:val="22"/>
        </w:rPr>
        <w:t xml:space="preserve"> </w:t>
      </w:r>
      <w:r>
        <w:rPr>
          <w:rFonts w:ascii="Century Gothic" w:hAnsi="Century Gothic"/>
          <w:sz w:val="22"/>
        </w:rPr>
        <w:t>r</w:t>
      </w:r>
      <w:hyperlink r:id="rId10">
        <w:r>
          <w:rPr>
            <w:rFonts w:ascii="Century Gothic" w:hAnsi="Century Gothic"/>
            <w:color w:val="1155CC"/>
            <w:sz w:val="22"/>
            <w:u w:val="single"/>
          </w:rPr>
          <w:t>https://gac.icann.org/sessions/gac-introductory-webinar-series-information-transparency-initiative-iti</w:t>
        </w:r>
      </w:hyperlink>
      <w:r>
        <w:rPr>
          <w:rFonts w:ascii="Century Gothic" w:hAnsi="Century Gothic"/>
          <w:sz w:val="22"/>
        </w:rPr>
        <w:t>;</w:t>
      </w:r>
    </w:p>
    <w:p w14:paraId="78585EFD" w14:textId="77777777" w:rsidR="00AA78F5" w:rsidRDefault="00AA78F5" w:rsidP="00AA78F5">
      <w:pPr>
        <w:numPr>
          <w:ilvl w:val="0"/>
          <w:numId w:val="39"/>
        </w:numPr>
        <w:pBdr>
          <w:top w:val="nil"/>
          <w:left w:val="nil"/>
          <w:bottom w:val="nil"/>
          <w:right w:val="nil"/>
          <w:between w:val="nil"/>
        </w:pBdr>
        <w:spacing w:after="200"/>
        <w:contextualSpacing/>
        <w:rPr>
          <w:rFonts w:ascii="Century Gothic" w:eastAsia="Century Gothic" w:hAnsi="Century Gothic" w:cs="Century Gothic"/>
          <w:sz w:val="22"/>
          <w:szCs w:val="22"/>
        </w:rPr>
      </w:pPr>
      <w:r>
        <w:rPr>
          <w:rFonts w:ascii="Century Gothic" w:hAnsi="Century Gothic"/>
          <w:sz w:val="22"/>
        </w:rPr>
        <w:t xml:space="preserve">Les éléments de base concernant la GNSO et le processus d'élaboration de politiques, 23 mai (voir </w:t>
      </w:r>
      <w:hyperlink r:id="rId11">
        <w:r>
          <w:rPr>
            <w:rFonts w:ascii="Century Gothic" w:hAnsi="Century Gothic"/>
            <w:color w:val="1155CC"/>
            <w:sz w:val="22"/>
            <w:u w:val="single"/>
          </w:rPr>
          <w:t>https://gac.icann.org/sessions/gac-introductory-webinar-series-about-the-gnso-and-policy-development-process-pdp</w:t>
        </w:r>
      </w:hyperlink>
      <w:r>
        <w:rPr>
          <w:rFonts w:ascii="Century Gothic" w:hAnsi="Century Gothic"/>
          <w:sz w:val="22"/>
        </w:rPr>
        <w:t>; et</w:t>
      </w:r>
    </w:p>
    <w:p w14:paraId="71411342" w14:textId="77777777" w:rsidR="00AA78F5" w:rsidRDefault="00AA78F5" w:rsidP="00AA78F5">
      <w:pPr>
        <w:numPr>
          <w:ilvl w:val="0"/>
          <w:numId w:val="39"/>
        </w:numPr>
        <w:pBdr>
          <w:top w:val="nil"/>
          <w:left w:val="nil"/>
          <w:bottom w:val="nil"/>
          <w:right w:val="nil"/>
          <w:between w:val="nil"/>
        </w:pBdr>
        <w:spacing w:after="200"/>
        <w:contextualSpacing/>
        <w:rPr>
          <w:rFonts w:ascii="Century Gothic" w:eastAsia="Century Gothic" w:hAnsi="Century Gothic" w:cs="Century Gothic"/>
          <w:sz w:val="22"/>
          <w:szCs w:val="22"/>
        </w:rPr>
      </w:pPr>
      <w:r>
        <w:rPr>
          <w:rFonts w:ascii="Century Gothic" w:hAnsi="Century Gothic"/>
          <w:sz w:val="22"/>
        </w:rPr>
        <w:t xml:space="preserve">Une présentation du responsable du bureau des plaintes de l'ICANN, 31 mai (voir </w:t>
      </w:r>
      <w:hyperlink r:id="rId12">
        <w:r>
          <w:rPr>
            <w:rFonts w:ascii="Century Gothic" w:hAnsi="Century Gothic"/>
            <w:color w:val="1155CC"/>
            <w:sz w:val="22"/>
            <w:u w:val="single"/>
          </w:rPr>
          <w:t>https://gac.icann.org/sessions/gac-introductory-webinar-series-icann-s-complaint-office</w:t>
        </w:r>
      </w:hyperlink>
    </w:p>
    <w:p w14:paraId="688CB4D9" w14:textId="52F59A70" w:rsidR="00AA78F5" w:rsidRDefault="00AA78F5" w:rsidP="00AA78F5">
      <w:pPr>
        <w:pBdr>
          <w:top w:val="nil"/>
          <w:left w:val="nil"/>
          <w:bottom w:val="nil"/>
          <w:right w:val="nil"/>
          <w:between w:val="nil"/>
        </w:pBdr>
        <w:spacing w:after="200"/>
        <w:rPr>
          <w:rFonts w:ascii="Century Gothic" w:eastAsia="Century Gothic" w:hAnsi="Century Gothic" w:cs="Century Gothic"/>
          <w:sz w:val="22"/>
          <w:szCs w:val="22"/>
        </w:rPr>
      </w:pPr>
      <w:r>
        <w:rPr>
          <w:rFonts w:ascii="Century Gothic" w:hAnsi="Century Gothic"/>
          <w:sz w:val="22"/>
        </w:rPr>
        <w:t>Dans l'ensemble, vingt-neuf (29) membres du GAC et trois (3) observateurs ont assisté à au moins une séance de séminaires Web.</w:t>
      </w:r>
      <w:r w:rsidR="00F24480">
        <w:rPr>
          <w:rFonts w:ascii="Century Gothic" w:hAnsi="Century Gothic"/>
          <w:sz w:val="22"/>
        </w:rPr>
        <w:t xml:space="preserve"> </w:t>
      </w:r>
      <w:r>
        <w:rPr>
          <w:rFonts w:ascii="Century Gothic" w:hAnsi="Century Gothic"/>
          <w:sz w:val="22"/>
        </w:rPr>
        <w:t>Les commentaires et retours des participants collectés après chaque séminaire Web permettent au personnel d'établir un format, un contenu et un éventail de sujets intéressants pour les participants du GAC.</w:t>
      </w:r>
      <w:r w:rsidR="00F24480">
        <w:rPr>
          <w:rFonts w:ascii="Century Gothic" w:hAnsi="Century Gothic"/>
          <w:sz w:val="22"/>
        </w:rPr>
        <w:t xml:space="preserve"> </w:t>
      </w:r>
      <w:r>
        <w:rPr>
          <w:rFonts w:ascii="Century Gothic" w:hAnsi="Century Gothic"/>
          <w:sz w:val="22"/>
        </w:rPr>
        <w:t>Les commentaires aideront à façonner les séminaires Web des prochains mois.</w:t>
      </w:r>
    </w:p>
    <w:p w14:paraId="7902DBFE" w14:textId="77777777" w:rsidR="00AA78F5" w:rsidRDefault="00AA78F5" w:rsidP="00AA78F5">
      <w:pPr>
        <w:pBdr>
          <w:top w:val="nil"/>
          <w:left w:val="nil"/>
          <w:bottom w:val="nil"/>
          <w:right w:val="nil"/>
          <w:between w:val="nil"/>
        </w:pBdr>
        <w:spacing w:after="200"/>
        <w:rPr>
          <w:rFonts w:ascii="Century Gothic" w:eastAsia="Century Gothic" w:hAnsi="Century Gothic" w:cs="Century Gothic"/>
          <w:sz w:val="20"/>
          <w:szCs w:val="20"/>
        </w:rPr>
      </w:pPr>
    </w:p>
    <w:tbl>
      <w:tblPr>
        <w:tblW w:w="11685" w:type="dxa"/>
        <w:tblInd w:w="-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395"/>
        <w:gridCol w:w="1230"/>
        <w:gridCol w:w="1665"/>
        <w:gridCol w:w="1200"/>
        <w:gridCol w:w="1635"/>
        <w:gridCol w:w="1635"/>
        <w:gridCol w:w="1665"/>
      </w:tblGrid>
      <w:tr w:rsidR="00AA78F5" w14:paraId="65BD1B5F" w14:textId="77777777" w:rsidTr="00F755F2">
        <w:tc>
          <w:tcPr>
            <w:tcW w:w="1260" w:type="dxa"/>
            <w:shd w:val="clear" w:color="auto" w:fill="auto"/>
            <w:tcMar>
              <w:top w:w="100" w:type="dxa"/>
              <w:left w:w="100" w:type="dxa"/>
              <w:bottom w:w="100" w:type="dxa"/>
              <w:right w:w="100" w:type="dxa"/>
            </w:tcMar>
          </w:tcPr>
          <w:p w14:paraId="7DBEA671"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rPr>
              <w:t>Sujets des séminaires Web</w:t>
            </w:r>
          </w:p>
        </w:tc>
        <w:tc>
          <w:tcPr>
            <w:tcW w:w="1395" w:type="dxa"/>
            <w:shd w:val="clear" w:color="auto" w:fill="auto"/>
            <w:tcMar>
              <w:top w:w="100" w:type="dxa"/>
              <w:left w:w="100" w:type="dxa"/>
              <w:bottom w:w="100" w:type="dxa"/>
              <w:right w:w="100" w:type="dxa"/>
            </w:tcMar>
          </w:tcPr>
          <w:p w14:paraId="160430F8"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rPr>
              <w:t>Membres confirmant leur présence</w:t>
            </w:r>
          </w:p>
        </w:tc>
        <w:tc>
          <w:tcPr>
            <w:tcW w:w="1230" w:type="dxa"/>
            <w:shd w:val="clear" w:color="auto" w:fill="auto"/>
            <w:tcMar>
              <w:top w:w="100" w:type="dxa"/>
              <w:left w:w="100" w:type="dxa"/>
              <w:bottom w:w="100" w:type="dxa"/>
              <w:right w:w="100" w:type="dxa"/>
            </w:tcMar>
          </w:tcPr>
          <w:p w14:paraId="39D74D92"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rPr>
              <w:t>Membres qui ont assisté au séminaire Web</w:t>
            </w:r>
          </w:p>
        </w:tc>
        <w:tc>
          <w:tcPr>
            <w:tcW w:w="1665" w:type="dxa"/>
            <w:shd w:val="clear" w:color="auto" w:fill="auto"/>
            <w:tcMar>
              <w:top w:w="100" w:type="dxa"/>
              <w:left w:w="100" w:type="dxa"/>
              <w:bottom w:w="100" w:type="dxa"/>
              <w:right w:w="100" w:type="dxa"/>
            </w:tcMar>
          </w:tcPr>
          <w:p w14:paraId="13C7ABB7"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rPr>
              <w:t xml:space="preserve">Nouveaux venus (depuis l'ICANN61) qui ont assisté </w:t>
            </w:r>
          </w:p>
        </w:tc>
        <w:tc>
          <w:tcPr>
            <w:tcW w:w="1200" w:type="dxa"/>
            <w:shd w:val="clear" w:color="auto" w:fill="auto"/>
            <w:tcMar>
              <w:top w:w="100" w:type="dxa"/>
              <w:left w:w="100" w:type="dxa"/>
              <w:bottom w:w="100" w:type="dxa"/>
              <w:right w:w="100" w:type="dxa"/>
            </w:tcMar>
          </w:tcPr>
          <w:p w14:paraId="6E133E81"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rPr>
              <w:t xml:space="preserve">Membres qui ont apporté des commentaires </w:t>
            </w:r>
          </w:p>
        </w:tc>
        <w:tc>
          <w:tcPr>
            <w:tcW w:w="1635" w:type="dxa"/>
            <w:shd w:val="clear" w:color="auto" w:fill="auto"/>
            <w:tcMar>
              <w:top w:w="100" w:type="dxa"/>
              <w:left w:w="100" w:type="dxa"/>
              <w:bottom w:w="100" w:type="dxa"/>
              <w:right w:w="100" w:type="dxa"/>
            </w:tcMar>
          </w:tcPr>
          <w:p w14:paraId="7351CF73"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rPr>
              <w:t>Résumé des commentaires</w:t>
            </w:r>
          </w:p>
        </w:tc>
        <w:tc>
          <w:tcPr>
            <w:tcW w:w="1635" w:type="dxa"/>
            <w:shd w:val="clear" w:color="auto" w:fill="auto"/>
            <w:tcMar>
              <w:top w:w="100" w:type="dxa"/>
              <w:left w:w="100" w:type="dxa"/>
              <w:bottom w:w="100" w:type="dxa"/>
              <w:right w:w="100" w:type="dxa"/>
            </w:tcMar>
          </w:tcPr>
          <w:p w14:paraId="249060E5"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rPr>
              <w:t>Suggestions d'amélioration des séminaires Web</w:t>
            </w:r>
          </w:p>
        </w:tc>
        <w:tc>
          <w:tcPr>
            <w:tcW w:w="1665" w:type="dxa"/>
            <w:shd w:val="clear" w:color="auto" w:fill="auto"/>
            <w:tcMar>
              <w:top w:w="100" w:type="dxa"/>
              <w:left w:w="100" w:type="dxa"/>
              <w:bottom w:w="100" w:type="dxa"/>
              <w:right w:w="100" w:type="dxa"/>
            </w:tcMar>
          </w:tcPr>
          <w:p w14:paraId="51E1FD3E"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rPr>
              <w:t>Sujets proposés pour de futurs séminaires Web</w:t>
            </w:r>
          </w:p>
        </w:tc>
      </w:tr>
      <w:tr w:rsidR="00AA78F5" w14:paraId="1AAA7024" w14:textId="77777777" w:rsidTr="00F755F2">
        <w:tc>
          <w:tcPr>
            <w:tcW w:w="1260" w:type="dxa"/>
            <w:shd w:val="clear" w:color="auto" w:fill="auto"/>
            <w:tcMar>
              <w:top w:w="100" w:type="dxa"/>
              <w:left w:w="100" w:type="dxa"/>
              <w:bottom w:w="100" w:type="dxa"/>
              <w:right w:w="100" w:type="dxa"/>
            </w:tcMar>
          </w:tcPr>
          <w:p w14:paraId="22D00246"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rPr>
              <w:t>ITI</w:t>
            </w:r>
          </w:p>
        </w:tc>
        <w:tc>
          <w:tcPr>
            <w:tcW w:w="1395" w:type="dxa"/>
            <w:shd w:val="clear" w:color="auto" w:fill="auto"/>
            <w:tcMar>
              <w:top w:w="100" w:type="dxa"/>
              <w:left w:w="100" w:type="dxa"/>
              <w:bottom w:w="100" w:type="dxa"/>
              <w:right w:w="100" w:type="dxa"/>
            </w:tcMar>
          </w:tcPr>
          <w:p w14:paraId="20F40D73"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rPr>
              <w:t>24</w:t>
            </w:r>
          </w:p>
        </w:tc>
        <w:tc>
          <w:tcPr>
            <w:tcW w:w="1230" w:type="dxa"/>
            <w:shd w:val="clear" w:color="auto" w:fill="auto"/>
            <w:tcMar>
              <w:top w:w="100" w:type="dxa"/>
              <w:left w:w="100" w:type="dxa"/>
              <w:bottom w:w="100" w:type="dxa"/>
              <w:right w:w="100" w:type="dxa"/>
            </w:tcMar>
          </w:tcPr>
          <w:p w14:paraId="4DB4BC55"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rPr>
              <w:t>12</w:t>
            </w:r>
          </w:p>
        </w:tc>
        <w:tc>
          <w:tcPr>
            <w:tcW w:w="1665" w:type="dxa"/>
            <w:shd w:val="clear" w:color="auto" w:fill="auto"/>
            <w:tcMar>
              <w:top w:w="100" w:type="dxa"/>
              <w:left w:w="100" w:type="dxa"/>
              <w:bottom w:w="100" w:type="dxa"/>
              <w:right w:w="100" w:type="dxa"/>
            </w:tcMar>
          </w:tcPr>
          <w:p w14:paraId="29A9F4A1"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rPr>
              <w:t>2</w:t>
            </w:r>
          </w:p>
        </w:tc>
        <w:tc>
          <w:tcPr>
            <w:tcW w:w="1200" w:type="dxa"/>
            <w:shd w:val="clear" w:color="auto" w:fill="auto"/>
            <w:tcMar>
              <w:top w:w="100" w:type="dxa"/>
              <w:left w:w="100" w:type="dxa"/>
              <w:bottom w:w="100" w:type="dxa"/>
              <w:right w:w="100" w:type="dxa"/>
            </w:tcMar>
          </w:tcPr>
          <w:p w14:paraId="781A7F9B"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rPr>
              <w:t>1</w:t>
            </w:r>
          </w:p>
        </w:tc>
        <w:tc>
          <w:tcPr>
            <w:tcW w:w="1635" w:type="dxa"/>
            <w:shd w:val="clear" w:color="auto" w:fill="auto"/>
            <w:tcMar>
              <w:top w:w="100" w:type="dxa"/>
              <w:left w:w="100" w:type="dxa"/>
              <w:bottom w:w="100" w:type="dxa"/>
              <w:right w:w="100" w:type="dxa"/>
            </w:tcMar>
          </w:tcPr>
          <w:p w14:paraId="2B9E4336"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rPr>
              <w:t>Informations utiles sur le nouveau projet de l'ICANN</w:t>
            </w:r>
          </w:p>
        </w:tc>
        <w:tc>
          <w:tcPr>
            <w:tcW w:w="1635" w:type="dxa"/>
            <w:shd w:val="clear" w:color="auto" w:fill="auto"/>
            <w:tcMar>
              <w:top w:w="100" w:type="dxa"/>
              <w:left w:w="100" w:type="dxa"/>
              <w:bottom w:w="100" w:type="dxa"/>
              <w:right w:w="100" w:type="dxa"/>
            </w:tcMar>
          </w:tcPr>
          <w:p w14:paraId="718549A7"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rPr>
              <w:t>Prévoir un sous-titrage</w:t>
            </w:r>
          </w:p>
        </w:tc>
        <w:tc>
          <w:tcPr>
            <w:tcW w:w="1665" w:type="dxa"/>
            <w:shd w:val="clear" w:color="auto" w:fill="auto"/>
            <w:tcMar>
              <w:top w:w="100" w:type="dxa"/>
              <w:left w:w="100" w:type="dxa"/>
              <w:bottom w:w="100" w:type="dxa"/>
              <w:right w:w="100" w:type="dxa"/>
            </w:tcMar>
          </w:tcPr>
          <w:p w14:paraId="2167801C"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rPr>
              <w:t>Le RGPD et la protection des données à caractère personnel</w:t>
            </w:r>
          </w:p>
        </w:tc>
      </w:tr>
      <w:tr w:rsidR="00AA78F5" w14:paraId="73E3EEC2" w14:textId="77777777" w:rsidTr="00F755F2">
        <w:tc>
          <w:tcPr>
            <w:tcW w:w="1260" w:type="dxa"/>
            <w:shd w:val="clear" w:color="auto" w:fill="auto"/>
            <w:tcMar>
              <w:top w:w="100" w:type="dxa"/>
              <w:left w:w="100" w:type="dxa"/>
              <w:bottom w:w="100" w:type="dxa"/>
              <w:right w:w="100" w:type="dxa"/>
            </w:tcMar>
          </w:tcPr>
          <w:p w14:paraId="179CD0E0"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rPr>
              <w:t>GNSO</w:t>
            </w:r>
          </w:p>
        </w:tc>
        <w:tc>
          <w:tcPr>
            <w:tcW w:w="1395" w:type="dxa"/>
            <w:shd w:val="clear" w:color="auto" w:fill="auto"/>
            <w:tcMar>
              <w:top w:w="100" w:type="dxa"/>
              <w:left w:w="100" w:type="dxa"/>
              <w:bottom w:w="100" w:type="dxa"/>
              <w:right w:w="100" w:type="dxa"/>
            </w:tcMar>
          </w:tcPr>
          <w:p w14:paraId="7605D2E6"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rPr>
              <w:t>32</w:t>
            </w:r>
          </w:p>
        </w:tc>
        <w:tc>
          <w:tcPr>
            <w:tcW w:w="1230" w:type="dxa"/>
            <w:shd w:val="clear" w:color="auto" w:fill="auto"/>
            <w:tcMar>
              <w:top w:w="100" w:type="dxa"/>
              <w:left w:w="100" w:type="dxa"/>
              <w:bottom w:w="100" w:type="dxa"/>
              <w:right w:w="100" w:type="dxa"/>
            </w:tcMar>
          </w:tcPr>
          <w:p w14:paraId="5878C43A"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rPr>
              <w:t>11</w:t>
            </w:r>
          </w:p>
        </w:tc>
        <w:tc>
          <w:tcPr>
            <w:tcW w:w="1665" w:type="dxa"/>
            <w:shd w:val="clear" w:color="auto" w:fill="auto"/>
            <w:tcMar>
              <w:top w:w="100" w:type="dxa"/>
              <w:left w:w="100" w:type="dxa"/>
              <w:bottom w:w="100" w:type="dxa"/>
              <w:right w:w="100" w:type="dxa"/>
            </w:tcMar>
          </w:tcPr>
          <w:p w14:paraId="2C0CDCE2"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rPr>
              <w:t>1</w:t>
            </w:r>
          </w:p>
        </w:tc>
        <w:tc>
          <w:tcPr>
            <w:tcW w:w="1200" w:type="dxa"/>
            <w:shd w:val="clear" w:color="auto" w:fill="auto"/>
            <w:tcMar>
              <w:top w:w="100" w:type="dxa"/>
              <w:left w:w="100" w:type="dxa"/>
              <w:bottom w:w="100" w:type="dxa"/>
              <w:right w:w="100" w:type="dxa"/>
            </w:tcMar>
          </w:tcPr>
          <w:p w14:paraId="04828E97"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rPr>
              <w:t>1</w:t>
            </w:r>
          </w:p>
        </w:tc>
        <w:tc>
          <w:tcPr>
            <w:tcW w:w="1635" w:type="dxa"/>
            <w:shd w:val="clear" w:color="auto" w:fill="auto"/>
            <w:tcMar>
              <w:top w:w="100" w:type="dxa"/>
              <w:left w:w="100" w:type="dxa"/>
              <w:bottom w:w="100" w:type="dxa"/>
              <w:right w:w="100" w:type="dxa"/>
            </w:tcMar>
          </w:tcPr>
          <w:p w14:paraId="1FA4EB15"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highlight w:val="white"/>
              </w:rPr>
              <w:t>Introduction claire et utile au rôle de la GNSO, au processus d'élaboration de politiques et aux échanges avec d'autres parties prenantes de l'ICANN et du GAC.</w:t>
            </w:r>
          </w:p>
        </w:tc>
        <w:tc>
          <w:tcPr>
            <w:tcW w:w="1635" w:type="dxa"/>
            <w:shd w:val="clear" w:color="auto" w:fill="auto"/>
            <w:tcMar>
              <w:top w:w="100" w:type="dxa"/>
              <w:left w:w="100" w:type="dxa"/>
              <w:bottom w:w="100" w:type="dxa"/>
              <w:right w:w="100" w:type="dxa"/>
            </w:tcMar>
          </w:tcPr>
          <w:p w14:paraId="14DB4F43"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rPr>
              <w:t>Envoyer des présentations et d'autres documents avant le séminaire Web</w:t>
            </w:r>
          </w:p>
        </w:tc>
        <w:tc>
          <w:tcPr>
            <w:tcW w:w="1665" w:type="dxa"/>
            <w:shd w:val="clear" w:color="auto" w:fill="auto"/>
            <w:tcMar>
              <w:top w:w="100" w:type="dxa"/>
              <w:left w:w="100" w:type="dxa"/>
              <w:bottom w:w="100" w:type="dxa"/>
              <w:right w:w="100" w:type="dxa"/>
            </w:tcMar>
          </w:tcPr>
          <w:p w14:paraId="3C7C6D85"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rPr>
              <w:t>- processus des statuts constitutifs pour mieux comprendre le modèle de l'ICANN</w:t>
            </w:r>
          </w:p>
          <w:p w14:paraId="0C82594B"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rPr>
              <w:t xml:space="preserve">- mécanisme de recours vis à vis du Conseil d’administration de l'ICANN </w:t>
            </w:r>
          </w:p>
          <w:p w14:paraId="7FA83AC7"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p>
        </w:tc>
      </w:tr>
      <w:tr w:rsidR="00AA78F5" w14:paraId="077B287D" w14:textId="77777777" w:rsidTr="00F755F2">
        <w:tc>
          <w:tcPr>
            <w:tcW w:w="1260" w:type="dxa"/>
            <w:shd w:val="clear" w:color="auto" w:fill="auto"/>
            <w:tcMar>
              <w:top w:w="100" w:type="dxa"/>
              <w:left w:w="100" w:type="dxa"/>
              <w:bottom w:w="100" w:type="dxa"/>
              <w:right w:w="100" w:type="dxa"/>
            </w:tcMar>
          </w:tcPr>
          <w:p w14:paraId="0A4B7C18"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rPr>
              <w:t>Responsable du bureau des plaintes</w:t>
            </w:r>
          </w:p>
        </w:tc>
        <w:tc>
          <w:tcPr>
            <w:tcW w:w="1395" w:type="dxa"/>
            <w:shd w:val="clear" w:color="auto" w:fill="auto"/>
            <w:tcMar>
              <w:top w:w="100" w:type="dxa"/>
              <w:left w:w="100" w:type="dxa"/>
              <w:bottom w:w="100" w:type="dxa"/>
              <w:right w:w="100" w:type="dxa"/>
            </w:tcMar>
          </w:tcPr>
          <w:p w14:paraId="0CE462B0"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rPr>
              <w:t>18</w:t>
            </w:r>
          </w:p>
        </w:tc>
        <w:tc>
          <w:tcPr>
            <w:tcW w:w="1230" w:type="dxa"/>
            <w:shd w:val="clear" w:color="auto" w:fill="auto"/>
            <w:tcMar>
              <w:top w:w="100" w:type="dxa"/>
              <w:left w:w="100" w:type="dxa"/>
              <w:bottom w:w="100" w:type="dxa"/>
              <w:right w:w="100" w:type="dxa"/>
            </w:tcMar>
          </w:tcPr>
          <w:p w14:paraId="30AAB5BB"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rPr>
              <w:t>9</w:t>
            </w:r>
          </w:p>
        </w:tc>
        <w:tc>
          <w:tcPr>
            <w:tcW w:w="1665" w:type="dxa"/>
            <w:shd w:val="clear" w:color="auto" w:fill="auto"/>
            <w:tcMar>
              <w:top w:w="100" w:type="dxa"/>
              <w:left w:w="100" w:type="dxa"/>
              <w:bottom w:w="100" w:type="dxa"/>
              <w:right w:w="100" w:type="dxa"/>
            </w:tcMar>
          </w:tcPr>
          <w:p w14:paraId="200A9ED4"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rPr>
              <w:t>1</w:t>
            </w:r>
          </w:p>
        </w:tc>
        <w:tc>
          <w:tcPr>
            <w:tcW w:w="1200" w:type="dxa"/>
            <w:shd w:val="clear" w:color="auto" w:fill="auto"/>
            <w:tcMar>
              <w:top w:w="100" w:type="dxa"/>
              <w:left w:w="100" w:type="dxa"/>
              <w:bottom w:w="100" w:type="dxa"/>
              <w:right w:w="100" w:type="dxa"/>
            </w:tcMar>
          </w:tcPr>
          <w:p w14:paraId="527BE0F7"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rPr>
              <w:t>3</w:t>
            </w:r>
          </w:p>
        </w:tc>
        <w:tc>
          <w:tcPr>
            <w:tcW w:w="1635" w:type="dxa"/>
            <w:shd w:val="clear" w:color="auto" w:fill="auto"/>
            <w:tcMar>
              <w:top w:w="100" w:type="dxa"/>
              <w:left w:w="100" w:type="dxa"/>
              <w:bottom w:w="100" w:type="dxa"/>
              <w:right w:w="100" w:type="dxa"/>
            </w:tcMar>
          </w:tcPr>
          <w:p w14:paraId="7572352D"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highlight w:val="white"/>
              </w:rPr>
              <w:t xml:space="preserve">Informations très intéressantes sur la manière de réduire les plaintes, sur les </w:t>
            </w:r>
            <w:r>
              <w:rPr>
                <w:rFonts w:ascii="Century Gothic" w:hAnsi="Century Gothic"/>
                <w:sz w:val="20"/>
                <w:highlight w:val="white"/>
              </w:rPr>
              <w:lastRenderedPageBreak/>
              <w:t>fonctions du responsable du bureau des plaintes de l'ICANN et les limites entre ce département et d'autres concernant la conformité et l'Ombudsman.</w:t>
            </w:r>
          </w:p>
        </w:tc>
        <w:tc>
          <w:tcPr>
            <w:tcW w:w="1635" w:type="dxa"/>
            <w:shd w:val="clear" w:color="auto" w:fill="auto"/>
            <w:tcMar>
              <w:top w:w="100" w:type="dxa"/>
              <w:left w:w="100" w:type="dxa"/>
              <w:bottom w:w="100" w:type="dxa"/>
              <w:right w:w="100" w:type="dxa"/>
            </w:tcMar>
          </w:tcPr>
          <w:p w14:paraId="396EEA32"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rPr>
              <w:lastRenderedPageBreak/>
              <w:t>Plus d'exemples/études de cas approfondis, si possible</w:t>
            </w:r>
          </w:p>
        </w:tc>
        <w:tc>
          <w:tcPr>
            <w:tcW w:w="1665" w:type="dxa"/>
            <w:shd w:val="clear" w:color="auto" w:fill="auto"/>
            <w:tcMar>
              <w:top w:w="100" w:type="dxa"/>
              <w:left w:w="100" w:type="dxa"/>
              <w:bottom w:w="100" w:type="dxa"/>
              <w:right w:w="100" w:type="dxa"/>
            </w:tcMar>
          </w:tcPr>
          <w:p w14:paraId="6F1B5AE6"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Arial" w:hAnsi="Arial"/>
                <w:sz w:val="20"/>
                <w:highlight w:val="white"/>
              </w:rPr>
              <w:t>-</w:t>
            </w:r>
            <w:r>
              <w:rPr>
                <w:rFonts w:ascii="Century Gothic" w:hAnsi="Century Gothic"/>
                <w:sz w:val="20"/>
                <w:highlight w:val="white"/>
              </w:rPr>
              <w:t>Conformité contractuelle</w:t>
            </w:r>
            <w:r>
              <w:rPr>
                <w:rFonts w:ascii="Century Gothic" w:eastAsia="Century Gothic" w:hAnsi="Century Gothic" w:cs="Century Gothic"/>
                <w:sz w:val="20"/>
                <w:szCs w:val="20"/>
                <w:highlight w:val="white"/>
              </w:rPr>
              <w:br/>
            </w:r>
            <w:r>
              <w:rPr>
                <w:rFonts w:ascii="Century Gothic" w:hAnsi="Century Gothic"/>
                <w:sz w:val="20"/>
                <w:highlight w:val="white"/>
              </w:rPr>
              <w:t xml:space="preserve">- rôle et limites du Conseil d’administration de l'ICANN </w:t>
            </w:r>
            <w:r>
              <w:rPr>
                <w:rFonts w:ascii="Century Gothic" w:hAnsi="Century Gothic"/>
                <w:sz w:val="20"/>
                <w:highlight w:val="white"/>
              </w:rPr>
              <w:lastRenderedPageBreak/>
              <w:t>concernant l'élaboration de politiques et la prise de décisions</w:t>
            </w:r>
            <w:r>
              <w:rPr>
                <w:rFonts w:ascii="Century Gothic" w:eastAsia="Century Gothic" w:hAnsi="Century Gothic" w:cs="Century Gothic"/>
                <w:sz w:val="20"/>
                <w:szCs w:val="20"/>
                <w:highlight w:val="white"/>
              </w:rPr>
              <w:br/>
            </w:r>
            <w:r>
              <w:rPr>
                <w:rFonts w:ascii="Century Gothic" w:hAnsi="Century Gothic"/>
                <w:sz w:val="20"/>
                <w:highlight w:val="white"/>
              </w:rPr>
              <w:t>-Partenariats de l'ICANN concernant la baisse de l'utilisation malveillante du DNS</w:t>
            </w:r>
            <w:r>
              <w:rPr>
                <w:rFonts w:ascii="Century Gothic" w:eastAsia="Century Gothic" w:hAnsi="Century Gothic" w:cs="Century Gothic"/>
                <w:sz w:val="20"/>
                <w:szCs w:val="20"/>
                <w:highlight w:val="white"/>
              </w:rPr>
              <w:br/>
            </w:r>
            <w:r>
              <w:rPr>
                <w:rFonts w:ascii="Century Gothic" w:hAnsi="Century Gothic"/>
                <w:sz w:val="20"/>
                <w:highlight w:val="white"/>
              </w:rPr>
              <w:t xml:space="preserve">- WHOIS de l'ICANN </w:t>
            </w:r>
          </w:p>
        </w:tc>
      </w:tr>
    </w:tbl>
    <w:p w14:paraId="1ACCEB80" w14:textId="77777777" w:rsidR="00AA78F5" w:rsidRDefault="00AA78F5" w:rsidP="00AA78F5">
      <w:pPr>
        <w:pBdr>
          <w:top w:val="nil"/>
          <w:left w:val="nil"/>
          <w:bottom w:val="nil"/>
          <w:right w:val="nil"/>
          <w:between w:val="nil"/>
        </w:pBdr>
        <w:spacing w:after="200" w:line="276" w:lineRule="auto"/>
        <w:jc w:val="both"/>
        <w:rPr>
          <w:rFonts w:ascii="Century Gothic" w:eastAsia="Century Gothic" w:hAnsi="Century Gothic" w:cs="Century Gothic"/>
          <w:sz w:val="20"/>
          <w:szCs w:val="20"/>
        </w:rPr>
      </w:pPr>
    </w:p>
    <w:p w14:paraId="427347CB" w14:textId="77777777" w:rsidR="00AA78F5" w:rsidRDefault="00AA78F5" w:rsidP="00AA78F5">
      <w:pPr>
        <w:pBdr>
          <w:top w:val="nil"/>
          <w:left w:val="nil"/>
          <w:bottom w:val="nil"/>
          <w:right w:val="nil"/>
          <w:between w:val="nil"/>
        </w:pBdr>
        <w:spacing w:after="200" w:line="276" w:lineRule="auto"/>
        <w:jc w:val="both"/>
        <w:rPr>
          <w:rFonts w:ascii="Century Gothic" w:eastAsia="Century Gothic" w:hAnsi="Century Gothic" w:cs="Century Gothic"/>
          <w:sz w:val="22"/>
          <w:szCs w:val="22"/>
        </w:rPr>
      </w:pPr>
    </w:p>
    <w:p w14:paraId="5B961CB9" w14:textId="77777777" w:rsidR="00AA78F5" w:rsidRDefault="00AA78F5" w:rsidP="00AA78F5">
      <w:pPr>
        <w:pBdr>
          <w:top w:val="nil"/>
          <w:left w:val="nil"/>
          <w:bottom w:val="nil"/>
          <w:right w:val="nil"/>
          <w:between w:val="nil"/>
        </w:pBdr>
        <w:spacing w:after="200" w:line="276" w:lineRule="auto"/>
        <w:jc w:val="both"/>
        <w:rPr>
          <w:rFonts w:ascii="Century Gothic" w:eastAsia="Century Gothic" w:hAnsi="Century Gothic" w:cs="Century Gothic"/>
          <w:sz w:val="22"/>
          <w:szCs w:val="22"/>
        </w:rPr>
      </w:pPr>
    </w:p>
    <w:p w14:paraId="28D8C737" w14:textId="77777777" w:rsidR="00AA78F5" w:rsidRPr="00AA78F5" w:rsidRDefault="00AA78F5" w:rsidP="00AA78F5">
      <w:pPr>
        <w:pBdr>
          <w:top w:val="nil"/>
          <w:left w:val="nil"/>
          <w:bottom w:val="nil"/>
          <w:right w:val="nil"/>
          <w:between w:val="nil"/>
        </w:pBdr>
        <w:spacing w:after="200" w:line="276" w:lineRule="auto"/>
        <w:rPr>
          <w:rFonts w:ascii="Century Gothic" w:eastAsia="Century Gothic" w:hAnsi="Century Gothic" w:cs="Century Gothic"/>
          <w:b/>
          <w:sz w:val="22"/>
          <w:szCs w:val="22"/>
        </w:rPr>
      </w:pPr>
      <w:r>
        <w:rPr>
          <w:rFonts w:ascii="Century Gothic" w:hAnsi="Century Gothic"/>
          <w:b/>
          <w:sz w:val="22"/>
        </w:rPr>
        <w:t xml:space="preserve">3 - Plateforme ICANN Learn </w:t>
      </w:r>
    </w:p>
    <w:p w14:paraId="1F5F52F0" w14:textId="35453E8E"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b/>
          <w:sz w:val="20"/>
          <w:szCs w:val="20"/>
        </w:rPr>
      </w:pPr>
      <w:r>
        <w:rPr>
          <w:rFonts w:ascii="Century Gothic" w:hAnsi="Century Gothic"/>
          <w:sz w:val="22"/>
        </w:rPr>
        <w:t>La plateforme ICANN Learn a été efficacement utilisée par un certain nombre de groupes de la communauté de l’ICANN et elle est une plateforme utile pour le contenu d'intégration impliquant tous les aspects de la communauté de l'ICANN.</w:t>
      </w:r>
      <w:r w:rsidR="00F24480">
        <w:rPr>
          <w:rFonts w:ascii="Century Gothic" w:hAnsi="Century Gothic"/>
          <w:sz w:val="22"/>
        </w:rPr>
        <w:t xml:space="preserve"> </w:t>
      </w:r>
      <w:r>
        <w:rPr>
          <w:rFonts w:ascii="Century Gothic" w:hAnsi="Century Gothic"/>
          <w:sz w:val="22"/>
        </w:rPr>
        <w:t>À mesure que le GAC a appris plus de choses concernant cet outil et que les ressources sont devenues disponibles, toutes les séries de séminaires Web, les informations concernant l'atelier de renforcement des capacités et les cours introductifs sur le GAC et son travail sont devenus centralisés sur la plateforme ICANN Learn. Les informations fournies ne seront pas seulement disponibles pour le GAC mais aussi pour la communauté de l’ICANN afin d'aider à expliquer les initiatives du GAC au reste de la communauté.</w:t>
      </w:r>
    </w:p>
    <w:p w14:paraId="26FD7F61" w14:textId="77777777" w:rsidR="00AA78F5" w:rsidRPr="00BF4B9D" w:rsidRDefault="00AA78F5" w:rsidP="00AA78F5">
      <w:pPr>
        <w:pStyle w:val="Heading3"/>
        <w:jc w:val="both"/>
        <w:rPr>
          <w:color w:val="0070C0"/>
          <w:sz w:val="22"/>
        </w:rPr>
      </w:pPr>
      <w:bookmarkStart w:id="2" w:name="_3cn0e2769io1"/>
      <w:bookmarkEnd w:id="2"/>
      <w:r>
        <w:rPr>
          <w:color w:val="0070C0"/>
          <w:sz w:val="22"/>
        </w:rPr>
        <w:t xml:space="preserve">Soutien aux déplacements du GAC </w:t>
      </w:r>
    </w:p>
    <w:p w14:paraId="660C7CEF" w14:textId="3893148B"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hAnsi="Century Gothic"/>
          <w:sz w:val="22"/>
        </w:rPr>
        <w:t>Le soutien aux déplacements pour les réunions publiques de l'ICANN est une ressource importante pour aider à étendre la participation aux initiatives de l'ICANN et partager efficacement les connaissances concernant les questions importantes pour les membres du GAC.</w:t>
      </w:r>
      <w:r w:rsidR="00F24480">
        <w:rPr>
          <w:rFonts w:ascii="Century Gothic" w:hAnsi="Century Gothic"/>
          <w:sz w:val="22"/>
        </w:rPr>
        <w:t xml:space="preserve"> </w:t>
      </w:r>
    </w:p>
    <w:p w14:paraId="0821CEB8" w14:textId="6046A2FF"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hAnsi="Century Gothic"/>
          <w:sz w:val="22"/>
        </w:rPr>
        <w:t>Quarante (40) modules de soutien aux déplacements ont été assurés pour que les membres du GAC assistent aux réunions publiques de l'ICANN lors du prochain exercice fiscal (2019).</w:t>
      </w:r>
      <w:r w:rsidR="00F24480">
        <w:rPr>
          <w:rFonts w:ascii="Century Gothic" w:hAnsi="Century Gothic"/>
          <w:sz w:val="22"/>
        </w:rPr>
        <w:t xml:space="preserve"> </w:t>
      </w:r>
      <w:r>
        <w:rPr>
          <w:rFonts w:ascii="Century Gothic" w:hAnsi="Century Gothic"/>
          <w:sz w:val="22"/>
        </w:rPr>
        <w:t>Chaque module de déplacement se compose d'indemnités journalières, de transport aérien et d'hébergement pour la durée de la réunion (arrivée un jour avant et départ un jour après les dates de réunion officielles).</w:t>
      </w:r>
    </w:p>
    <w:p w14:paraId="14041FEB" w14:textId="2BE19E95"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hAnsi="Century Gothic"/>
          <w:sz w:val="22"/>
        </w:rPr>
        <w:t>Au Panama, le personnel de soutien au GAC fera part de l'évolution du processus visant à montrer un intérêt ou à demander un soutien aux déplacements pour les réunions publiques ICANN.</w:t>
      </w:r>
      <w:r w:rsidR="00F24480">
        <w:rPr>
          <w:rFonts w:ascii="Century Gothic" w:hAnsi="Century Gothic"/>
          <w:sz w:val="22"/>
        </w:rPr>
        <w:t xml:space="preserve"> </w:t>
      </w:r>
      <w:r>
        <w:rPr>
          <w:rFonts w:ascii="Century Gothic" w:hAnsi="Century Gothic"/>
          <w:sz w:val="22"/>
        </w:rPr>
        <w:t>Le personnel expliquera également les ressources rendues disponibles pour aider les voyageurs supplémentaires de première classe pour la réunion gouvernementale de haut niveau à venir lors de l'ICANN63 à Barcelone.</w:t>
      </w:r>
    </w:p>
    <w:p w14:paraId="7D494140"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0"/>
          <w:szCs w:val="20"/>
        </w:rPr>
      </w:pPr>
      <w:r>
        <w:rPr>
          <w:rFonts w:ascii="Century Gothic" w:hAnsi="Century Gothic"/>
          <w:sz w:val="22"/>
        </w:rPr>
        <w:lastRenderedPageBreak/>
        <w:t xml:space="preserve">Le personnel expliquera également la nouvelle initiative de l'ICANN visant à examiner à nouveau les directives relatives au soutien aux déplacements (voir </w:t>
      </w:r>
      <w:hyperlink r:id="rId13">
        <w:r>
          <w:rPr>
            <w:rFonts w:ascii="Century Gothic" w:hAnsi="Century Gothic"/>
            <w:color w:val="1155CC"/>
            <w:sz w:val="22"/>
            <w:u w:val="single"/>
          </w:rPr>
          <w:t>https://www.icann.org/public-comments/travel-support-guidelines-2018-05-30-en</w:t>
        </w:r>
      </w:hyperlink>
      <w:r>
        <w:rPr>
          <w:rFonts w:ascii="Century Gothic" w:hAnsi="Century Gothic"/>
          <w:sz w:val="22"/>
        </w:rPr>
        <w:t>,)</w:t>
      </w:r>
    </w:p>
    <w:p w14:paraId="56BCDF81" w14:textId="3E179116" w:rsidR="00E615C7" w:rsidRDefault="00E615C7" w:rsidP="009E2D17">
      <w:pPr>
        <w:pStyle w:val="BodyText"/>
      </w:pPr>
    </w:p>
    <w:p w14:paraId="2C2EC539" w14:textId="3E9F6D5E" w:rsidR="00E615C7" w:rsidRDefault="00E615C7" w:rsidP="00920FBF">
      <w:pPr>
        <w:pStyle w:val="BodyText"/>
      </w:pPr>
    </w:p>
    <w:p w14:paraId="18C8D1B4" w14:textId="77777777" w:rsidR="003D4677" w:rsidRDefault="003D4677" w:rsidP="00920FBF">
      <w:pPr>
        <w:pStyle w:val="BodyText"/>
      </w:pPr>
    </w:p>
    <w:p w14:paraId="30BFE102" w14:textId="58FE14E6" w:rsidR="00416093" w:rsidRDefault="00F21D6A" w:rsidP="00EE2665">
      <w:pPr>
        <w:pStyle w:val="Heading2"/>
      </w:pPr>
      <w:bookmarkStart w:id="3" w:name="_Hlk484433727"/>
      <w:r>
        <w:t>Gestion des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010398" w:rsidRPr="003F43E3" w14:paraId="02A4B1CF" w14:textId="77777777" w:rsidTr="00D27E64">
        <w:tc>
          <w:tcPr>
            <w:tcW w:w="3261" w:type="dxa"/>
            <w:vAlign w:val="center"/>
          </w:tcPr>
          <w:p w14:paraId="4950A8FE" w14:textId="77777777" w:rsidR="00010398" w:rsidRPr="003F43E3" w:rsidRDefault="00010398" w:rsidP="00D27E64">
            <w:pPr>
              <w:ind w:right="-132"/>
              <w:rPr>
                <w:rFonts w:ascii="Century Gothic" w:eastAsiaTheme="minorEastAsia" w:hAnsi="Century Gothic" w:cstheme="minorBidi"/>
                <w:b/>
                <w:sz w:val="20"/>
                <w:szCs w:val="20"/>
              </w:rPr>
            </w:pPr>
            <w:r>
              <w:rPr>
                <w:rFonts w:ascii="Century Gothic" w:eastAsiaTheme="minorEastAsia" w:hAnsi="Century Gothic" w:cstheme="minorBidi"/>
                <w:b/>
                <w:sz w:val="20"/>
              </w:rPr>
              <w:t>Titre</w:t>
            </w:r>
          </w:p>
        </w:tc>
        <w:tc>
          <w:tcPr>
            <w:tcW w:w="5811" w:type="dxa"/>
            <w:vAlign w:val="center"/>
          </w:tcPr>
          <w:p w14:paraId="3670060B" w14:textId="31D10CB4" w:rsidR="00010398" w:rsidRPr="00EA3A02" w:rsidRDefault="009E2D17" w:rsidP="00FC2E8B">
            <w:pPr>
              <w:ind w:right="545"/>
              <w:rPr>
                <w:rFonts w:ascii="Century Gothic" w:eastAsiaTheme="minorEastAsia" w:hAnsi="Century Gothic" w:cstheme="minorBidi"/>
                <w:sz w:val="20"/>
                <w:szCs w:val="20"/>
              </w:rPr>
            </w:pPr>
            <w:r>
              <w:rPr>
                <w:rFonts w:ascii="Century Gothic" w:eastAsiaTheme="minorEastAsia" w:hAnsi="Century Gothic" w:cstheme="minorBidi"/>
                <w:sz w:val="20"/>
              </w:rPr>
              <w:t>Intégration et soutien aux déplacements du GAC</w:t>
            </w:r>
          </w:p>
        </w:tc>
      </w:tr>
      <w:tr w:rsidR="00010398" w:rsidRPr="003F43E3" w14:paraId="0641DFB7" w14:textId="77777777" w:rsidTr="00D27E64">
        <w:tc>
          <w:tcPr>
            <w:tcW w:w="3261" w:type="dxa"/>
            <w:vAlign w:val="center"/>
          </w:tcPr>
          <w:p w14:paraId="23363542" w14:textId="77777777" w:rsidR="00010398" w:rsidRPr="003F43E3" w:rsidRDefault="00010398" w:rsidP="00D27E64">
            <w:pPr>
              <w:ind w:right="-132"/>
              <w:rPr>
                <w:rFonts w:ascii="Century Gothic" w:eastAsiaTheme="minorEastAsia" w:hAnsi="Century Gothic" w:cstheme="minorBidi"/>
                <w:b/>
                <w:sz w:val="20"/>
                <w:szCs w:val="20"/>
              </w:rPr>
            </w:pPr>
            <w:r>
              <w:rPr>
                <w:rFonts w:ascii="Century Gothic" w:eastAsiaTheme="minorEastAsia" w:hAnsi="Century Gothic" w:cstheme="minorBidi"/>
                <w:b/>
                <w:sz w:val="20"/>
              </w:rPr>
              <w:t>Distribution</w:t>
            </w:r>
          </w:p>
        </w:tc>
        <w:tc>
          <w:tcPr>
            <w:tcW w:w="5811" w:type="dxa"/>
            <w:vAlign w:val="center"/>
          </w:tcPr>
          <w:p w14:paraId="71A5F200" w14:textId="77777777" w:rsidR="00010398" w:rsidRPr="003F43E3" w:rsidRDefault="00010398"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rPr>
              <w:t>Membres du GAC</w:t>
            </w:r>
          </w:p>
        </w:tc>
      </w:tr>
      <w:tr w:rsidR="00010398" w:rsidRPr="003F43E3" w14:paraId="0DD5FC1F" w14:textId="77777777" w:rsidTr="00D27E64">
        <w:tc>
          <w:tcPr>
            <w:tcW w:w="3261" w:type="dxa"/>
            <w:vAlign w:val="center"/>
          </w:tcPr>
          <w:p w14:paraId="283030BF" w14:textId="77777777" w:rsidR="00010398" w:rsidRPr="003F43E3" w:rsidRDefault="00010398" w:rsidP="00D27E64">
            <w:pPr>
              <w:ind w:right="-132"/>
              <w:rPr>
                <w:rFonts w:ascii="Century Gothic" w:eastAsiaTheme="minorEastAsia" w:hAnsi="Century Gothic" w:cstheme="minorBidi"/>
                <w:b/>
                <w:sz w:val="20"/>
                <w:szCs w:val="20"/>
              </w:rPr>
            </w:pPr>
            <w:r>
              <w:rPr>
                <w:rFonts w:ascii="Century Gothic" w:eastAsiaTheme="minorEastAsia" w:hAnsi="Century Gothic" w:cstheme="minorBidi"/>
                <w:b/>
                <w:sz w:val="20"/>
              </w:rPr>
              <w:t>Date de distribution</w:t>
            </w:r>
          </w:p>
        </w:tc>
        <w:tc>
          <w:tcPr>
            <w:tcW w:w="5811" w:type="dxa"/>
            <w:vAlign w:val="center"/>
          </w:tcPr>
          <w:p w14:paraId="5BCACAE1" w14:textId="128AABE2" w:rsidR="00010398" w:rsidRPr="003F43E3" w:rsidRDefault="00AA78F5"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rPr>
              <w:t>14 juin 2018</w:t>
            </w:r>
          </w:p>
        </w:tc>
      </w:tr>
      <w:bookmarkEnd w:id="3"/>
    </w:tbl>
    <w:p w14:paraId="5F2B7234" w14:textId="77777777" w:rsidR="0017576D" w:rsidRPr="00CF56FA" w:rsidRDefault="0017576D" w:rsidP="00E64914">
      <w:pPr>
        <w:pStyle w:val="BodyText"/>
        <w:ind w:right="545"/>
        <w:rPr>
          <w:color w:val="000000"/>
          <w:szCs w:val="20"/>
        </w:rPr>
      </w:pPr>
    </w:p>
    <w:sectPr w:rsidR="0017576D" w:rsidRPr="00CF56FA" w:rsidSect="007A174E">
      <w:headerReference w:type="default" r:id="rId14"/>
      <w:footerReference w:type="default" r:id="rId15"/>
      <w:headerReference w:type="first" r:id="rId16"/>
      <w:footerReference w:type="first" r:id="rId17"/>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20EDF" w14:textId="77777777" w:rsidR="009070C0" w:rsidRDefault="009070C0" w:rsidP="00A24449">
      <w:r>
        <w:separator/>
      </w:r>
    </w:p>
  </w:endnote>
  <w:endnote w:type="continuationSeparator" w:id="0">
    <w:p w14:paraId="6DA32ABA" w14:textId="77777777" w:rsidR="009070C0" w:rsidRDefault="009070C0"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BFA9" w14:textId="77777777" w:rsidR="00414BB7" w:rsidRDefault="00414BB7" w:rsidP="002276FD">
    <w:pPr>
      <w:pStyle w:val="Footer"/>
      <w:ind w:left="-567" w:right="261"/>
    </w:pPr>
  </w:p>
  <w:p w14:paraId="1F6A8333" w14:textId="5D40A38B" w:rsidR="00414BB7" w:rsidRPr="00B026C8" w:rsidRDefault="00D161F9" w:rsidP="002276FD">
    <w:pPr>
      <w:pBdr>
        <w:top w:val="single" w:sz="18" w:space="1" w:color="1F497D"/>
      </w:pBdr>
      <w:spacing w:before="240"/>
      <w:ind w:right="261"/>
      <w:rPr>
        <w:rFonts w:ascii="Century Gothic" w:hAnsi="Century Gothic"/>
        <w:color w:val="00408E"/>
      </w:rPr>
    </w:pPr>
    <w:r>
      <w:tab/>
    </w:r>
    <w:r>
      <w:tab/>
    </w:r>
    <w:r>
      <w:tab/>
    </w:r>
    <w:r>
      <w:tab/>
    </w:r>
    <w:r>
      <w:tab/>
    </w:r>
    <w:r w:rsidR="00F24480">
      <w:rPr>
        <w:rFonts w:ascii="Century Gothic" w:hAnsi="Century Gothic"/>
        <w:color w:val="00408E"/>
        <w:sz w:val="16"/>
      </w:rPr>
      <w:t xml:space="preserve">   </w:t>
    </w:r>
    <w:r>
      <w:tab/>
    </w:r>
    <w:r w:rsidR="00F24480">
      <w:rPr>
        <w:rFonts w:ascii="Century Gothic" w:hAnsi="Century Gothic"/>
        <w:color w:val="00408E"/>
        <w:sz w:val="16"/>
      </w:rPr>
      <w:t xml:space="preserve">        </w:t>
    </w:r>
    <w:r>
      <w:tab/>
    </w:r>
    <w:r>
      <w:tab/>
    </w:r>
    <w:r>
      <w:tab/>
    </w:r>
    <w:r w:rsidR="00F24480">
      <w:rPr>
        <w:rFonts w:ascii="Century Gothic" w:hAnsi="Century Gothic"/>
        <w:color w:val="00408E"/>
        <w:sz w:val="16"/>
      </w:rPr>
      <w:t xml:space="preserve">        </w:t>
    </w:r>
    <w:r>
      <w:rPr>
        <w:rFonts w:ascii="Century Gothic" w:hAnsi="Century Gothic"/>
        <w:color w:val="00408E"/>
        <w:sz w:val="16"/>
      </w:rPr>
      <w:t xml:space="preserve"> </w:t>
    </w:r>
    <w:r>
      <w:tab/>
    </w:r>
    <w:r>
      <w:rPr>
        <w:rFonts w:ascii="Century Gothic" w:hAnsi="Century Gothic"/>
        <w:color w:val="00408E"/>
        <w:sz w:val="16"/>
      </w:rPr>
      <w:t xml:space="preserve"> Page </w:t>
    </w:r>
    <w:r w:rsidR="00414BB7" w:rsidRPr="00B026C8">
      <w:rPr>
        <w:rFonts w:ascii="Century Gothic" w:hAnsi="Century Gothic"/>
        <w:color w:val="00408E"/>
        <w:sz w:val="16"/>
        <w:szCs w:val="16"/>
      </w:rPr>
      <w:fldChar w:fldCharType="begin"/>
    </w:r>
    <w:r w:rsidR="00414BB7" w:rsidRPr="00B026C8">
      <w:rPr>
        <w:rFonts w:ascii="Century Gothic" w:hAnsi="Century Gothic"/>
        <w:color w:val="00408E"/>
        <w:sz w:val="16"/>
        <w:szCs w:val="16"/>
      </w:rPr>
      <w:instrText xml:space="preserve"> PAGE </w:instrText>
    </w:r>
    <w:r w:rsidR="00414BB7" w:rsidRPr="00B026C8">
      <w:rPr>
        <w:rFonts w:ascii="Century Gothic" w:hAnsi="Century Gothic"/>
        <w:color w:val="00408E"/>
        <w:sz w:val="16"/>
        <w:szCs w:val="16"/>
      </w:rPr>
      <w:fldChar w:fldCharType="separate"/>
    </w:r>
    <w:r w:rsidR="00F24480">
      <w:rPr>
        <w:rFonts w:ascii="Century Gothic" w:hAnsi="Century Gothic"/>
        <w:noProof/>
        <w:color w:val="00408E"/>
        <w:sz w:val="16"/>
        <w:szCs w:val="16"/>
      </w:rPr>
      <w:t>4</w:t>
    </w:r>
    <w:r w:rsidR="00414BB7" w:rsidRPr="00B026C8">
      <w:rPr>
        <w:rFonts w:ascii="Century Gothic" w:hAnsi="Century Gothic"/>
        <w:color w:val="00408E"/>
        <w:sz w:val="16"/>
        <w:szCs w:val="16"/>
      </w:rPr>
      <w:fldChar w:fldCharType="end"/>
    </w:r>
    <w:r>
      <w:rPr>
        <w:rFonts w:ascii="Century Gothic" w:hAnsi="Century Gothic"/>
        <w:color w:val="00408E"/>
        <w:sz w:val="16"/>
      </w:rPr>
      <w:t xml:space="preserve"> sur </w:t>
    </w:r>
    <w:r w:rsidR="00414BB7" w:rsidRPr="00B026C8">
      <w:rPr>
        <w:rFonts w:ascii="Century Gothic" w:hAnsi="Century Gothic"/>
        <w:color w:val="00408E"/>
        <w:sz w:val="16"/>
        <w:szCs w:val="16"/>
      </w:rPr>
      <w:fldChar w:fldCharType="begin"/>
    </w:r>
    <w:r w:rsidR="00414BB7" w:rsidRPr="00B026C8">
      <w:rPr>
        <w:rFonts w:ascii="Century Gothic" w:hAnsi="Century Gothic"/>
        <w:color w:val="00408E"/>
        <w:sz w:val="16"/>
        <w:szCs w:val="16"/>
      </w:rPr>
      <w:instrText xml:space="preserve"> NUMPAGES  </w:instrText>
    </w:r>
    <w:r w:rsidR="00414BB7" w:rsidRPr="00B026C8">
      <w:rPr>
        <w:rFonts w:ascii="Century Gothic" w:hAnsi="Century Gothic"/>
        <w:color w:val="00408E"/>
        <w:sz w:val="16"/>
        <w:szCs w:val="16"/>
      </w:rPr>
      <w:fldChar w:fldCharType="separate"/>
    </w:r>
    <w:r w:rsidR="00F24480">
      <w:rPr>
        <w:rFonts w:ascii="Century Gothic" w:hAnsi="Century Gothic"/>
        <w:noProof/>
        <w:color w:val="00408E"/>
        <w:sz w:val="16"/>
        <w:szCs w:val="16"/>
      </w:rPr>
      <w:t>4</w:t>
    </w:r>
    <w:r w:rsidR="00414BB7" w:rsidRPr="00B026C8">
      <w:rPr>
        <w:rFonts w:ascii="Century Gothic" w:hAnsi="Century Gothic"/>
        <w:color w:val="00408E"/>
        <w:sz w:val="16"/>
        <w:szCs w:val="16"/>
      </w:rPr>
      <w:fldChar w:fldCharType="end"/>
    </w:r>
  </w:p>
  <w:p w14:paraId="5437F5F8" w14:textId="77777777" w:rsidR="00414BB7" w:rsidRPr="000C0FD7" w:rsidRDefault="00414BB7" w:rsidP="003D7A8D">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29D5" w14:textId="77777777" w:rsidR="00414BB7" w:rsidRPr="00C2562C" w:rsidRDefault="00414BB7" w:rsidP="00740F60">
    <w:pPr>
      <w:pBdr>
        <w:top w:val="single" w:sz="18" w:space="1" w:color="1F497D"/>
      </w:pBdr>
      <w:spacing w:before="240"/>
      <w:ind w:right="544"/>
      <w:rPr>
        <w:color w:val="00408E"/>
        <w:sz w:val="2"/>
        <w:szCs w:val="2"/>
      </w:rPr>
    </w:pPr>
  </w:p>
  <w:p w14:paraId="6CEFBB86" w14:textId="77777777" w:rsidR="00414BB7" w:rsidRPr="00F24480" w:rsidRDefault="00414BB7" w:rsidP="00740F60">
    <w:pPr>
      <w:pStyle w:val="NoSpacing"/>
      <w:ind w:right="544"/>
      <w:jc w:val="right"/>
      <w:rPr>
        <w:sz w:val="16"/>
        <w:szCs w:val="16"/>
        <w:lang w:val="en-US"/>
      </w:rPr>
    </w:pPr>
    <w:r w:rsidRPr="00F24480">
      <w:rPr>
        <w:sz w:val="16"/>
        <w:lang w:val="en-US"/>
      </w:rPr>
      <w:t xml:space="preserve">203 Drummond Street, Carlton VIC 3053 </w:t>
    </w:r>
  </w:p>
  <w:p w14:paraId="43F9FA24" w14:textId="77777777" w:rsidR="00414BB7" w:rsidRPr="00F24480" w:rsidRDefault="00414BB7" w:rsidP="00740F60">
    <w:pPr>
      <w:pStyle w:val="NoSpacing"/>
      <w:ind w:right="544"/>
      <w:jc w:val="right"/>
      <w:rPr>
        <w:sz w:val="16"/>
        <w:szCs w:val="16"/>
        <w:lang w:val="en-US"/>
      </w:rPr>
    </w:pPr>
    <w:r w:rsidRPr="00F24480">
      <w:rPr>
        <w:sz w:val="16"/>
        <w:lang w:val="en-US"/>
      </w:rPr>
      <w:t>03 9650 7222</w:t>
    </w:r>
  </w:p>
  <w:p w14:paraId="67FE17A9" w14:textId="77777777" w:rsidR="00414BB7" w:rsidRPr="00F24480" w:rsidRDefault="00414BB7" w:rsidP="00740F60">
    <w:pPr>
      <w:pStyle w:val="NoSpacing"/>
      <w:ind w:right="544"/>
      <w:jc w:val="right"/>
      <w:rPr>
        <w:sz w:val="16"/>
        <w:szCs w:val="16"/>
        <w:lang w:val="en-US"/>
      </w:rPr>
    </w:pPr>
    <w:r w:rsidRPr="00F24480">
      <w:rPr>
        <w:sz w:val="16"/>
        <w:lang w:val="en-US"/>
      </w:rPr>
      <w:t xml:space="preserve">www.acig.com.au </w:t>
    </w:r>
  </w:p>
  <w:p w14:paraId="19DE8D68" w14:textId="77777777" w:rsidR="00414BB7" w:rsidRPr="00F24480" w:rsidRDefault="00414BB7" w:rsidP="003D7A8D">
    <w:pPr>
      <w:pStyle w:val="Footer"/>
      <w:jc w:val="center"/>
      <w:rPr>
        <w:color w:val="00408E"/>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19C55" w14:textId="77777777" w:rsidR="009070C0" w:rsidRDefault="009070C0" w:rsidP="00A24449">
      <w:r>
        <w:separator/>
      </w:r>
    </w:p>
  </w:footnote>
  <w:footnote w:type="continuationSeparator" w:id="0">
    <w:p w14:paraId="4937DAE5" w14:textId="77777777" w:rsidR="009070C0" w:rsidRDefault="009070C0" w:rsidP="00A2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CD3B" w14:textId="652E5537" w:rsidR="00414BB7" w:rsidRDefault="00652CC9" w:rsidP="002276FD">
    <w:pPr>
      <w:pStyle w:val="Header"/>
      <w:tabs>
        <w:tab w:val="clear" w:pos="4680"/>
        <w:tab w:val="clear" w:pos="9360"/>
      </w:tabs>
      <w:ind w:left="7920" w:right="-306" w:firstLine="444"/>
    </w:pPr>
    <w:bookmarkStart w:id="4" w:name="_Hlk484433278"/>
    <w:bookmarkStart w:id="5" w:name="_Hlk484433279"/>
    <w:r>
      <w:rPr>
        <w:noProof/>
        <w:lang w:bidi="ar-SA"/>
      </w:rPr>
      <mc:AlternateContent>
        <mc:Choice Requires="wps">
          <w:drawing>
            <wp:anchor distT="0" distB="0" distL="114300" distR="114300" simplePos="0" relativeHeight="251657728" behindDoc="1" locked="0" layoutInCell="1" allowOverlap="1" wp14:anchorId="14C70CF8" wp14:editId="7E4B95C6">
              <wp:simplePos x="0" y="0"/>
              <wp:positionH relativeFrom="column">
                <wp:posOffset>4262907</wp:posOffset>
              </wp:positionH>
              <wp:positionV relativeFrom="paragraph">
                <wp:posOffset>225346</wp:posOffset>
              </wp:positionV>
              <wp:extent cx="1610941" cy="289774"/>
              <wp:effectExtent l="0" t="0" r="889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41" cy="289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2D9AF" w14:textId="77777777" w:rsidR="00414BB7" w:rsidRPr="00A12C22" w:rsidRDefault="00414BB7" w:rsidP="00CD30A8">
                          <w:pPr>
                            <w:ind w:left="-142"/>
                            <w:rPr>
                              <w:rFonts w:ascii="Arial Narrow" w:hAnsi="Arial Narrow"/>
                              <w:color w:val="C00000"/>
                              <w:sz w:val="32"/>
                              <w:szCs w:val="32"/>
                            </w:rPr>
                          </w:pPr>
                          <w:r>
                            <w:rPr>
                              <w:rFonts w:ascii="Arial Narrow" w:hAnsi="Arial Narrow"/>
                              <w:color w:val="C00000"/>
                              <w:sz w:val="32"/>
                            </w:rPr>
                            <w:t>Secrétariat du GAC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0CF8" id="_x0000_t202" coordsize="21600,21600" o:spt="202" path="m,l,21600r21600,l21600,xe">
              <v:stroke joinstyle="miter"/>
              <v:path gradientshapeok="t" o:connecttype="rect"/>
            </v:shapetype>
            <v:shape id="Text Box 4" o:spid="_x0000_s1026" type="#_x0000_t202" style="position:absolute;left:0;text-align:left;margin-left:335.65pt;margin-top:17.75pt;width:126.85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5Qgw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IqQnd64CpweDLj5AbaDZ4jUmXtNvzik9G1L1I5fW6v7lhMG7LJwMpkcHXFcANn2&#10;7zWDa8je6wg0NLYLgJAMBOhQpadzZQIVGq5cZGlZAEUKtnxVLpeRXEKq02ljnX/LdYfCpMYWKh/R&#10;yeHe+cCGVCeXyF5LwTZCyriwu+2ttOhAQCWb+MUAIMipm1TBWelwbEQcd4Ak3BFsgW6s+vcyy4v0&#10;Ji9nm8VqOSs2xXxWLtPVLM3Km3KRFmVxt3kOBLOiagVjXN0LxU8KzIq/q/CxF0btRA2ivsblPJ+P&#10;JZqyd9Mg0/j9KchOeGhIKboar85OpAqFfaMYhE0qT4Qc58nP9GOWIQenf8xKlEGo/KgBP2wHQAna&#10;2Gr2BIKwGuoFVYdXBCattt8w6qEja+y+7onlGMl3CkRVZkURWjguivkyh4WdWrZTC1EUoGrsMRqn&#10;t35s+72xYtfCTaOMlb4GITYiauSF1VG+0HUxmOMLEdp6uo5eL+/Y+gcAAAD//wMAUEsDBBQABgAI&#10;AAAAIQCanPNQ3gAAAAkBAAAPAAAAZHJzL2Rvd25yZXYueG1sTI/RToNAEEXfTfyHzZj4YuxCK9BS&#10;hkZNNL629gMGdguk7Cxht4X+veuTPk7m5N5zi91senHVo+ssI8SLCITm2qqOG4Tj98fzGoTzxIp6&#10;yxrhph3syvu7gnJlJ97r68E3IoSwywmh9X7IpXR1qw25hR00h9/JjoZ8OMdGqpGmEG56uYyiVBrq&#10;ODS0NOj3Vtfnw8UgnL6mp2QzVZ/+mO1f0jfqssreEB8f5tctCK9n/wfDr35QhzI4VfbCyokeIc3i&#10;VUARVkkCIgCbZRLGVQjrOAZZFvL/gvIHAAD//wMAUEsBAi0AFAAGAAgAAAAhALaDOJL+AAAA4QEA&#10;ABMAAAAAAAAAAAAAAAAAAAAAAFtDb250ZW50X1R5cGVzXS54bWxQSwECLQAUAAYACAAAACEAOP0h&#10;/9YAAACUAQAACwAAAAAAAAAAAAAAAAAvAQAAX3JlbHMvLnJlbHNQSwECLQAUAAYACAAAACEAryF+&#10;UIMCAAAPBQAADgAAAAAAAAAAAAAAAAAuAgAAZHJzL2Uyb0RvYy54bWxQSwECLQAUAAYACAAAACEA&#10;mpzzUN4AAAAJAQAADwAAAAAAAAAAAAAAAADdBAAAZHJzL2Rvd25yZXYueG1sUEsFBgAAAAAEAAQA&#10;8wAAAOgFAAAAAA==&#10;" stroked="f">
              <v:textbox>
                <w:txbxContent>
                  <w:p w14:paraId="46E2D9AF" w14:textId="77777777" w:rsidR="00414BB7" w:rsidRPr="00A12C22" w:rsidRDefault="00414BB7" w:rsidP="00CD30A8">
                    <w:pPr>
                      <w:ind w:left="-142"/>
                      <w:rPr>
                        <w:rFonts w:ascii="Arial Narrow" w:hAnsi="Arial Narrow"/>
                        <w:color w:val="C00000"/>
                        <w:sz w:val="32"/>
                        <w:szCs w:val="32"/>
                      </w:rPr>
                    </w:pPr>
                    <w:r>
                      <w:rPr>
                        <w:rFonts w:ascii="Arial Narrow" w:hAnsi="Arial Narrow"/>
                        <w:color w:val="C00000"/>
                        <w:sz w:val="32"/>
                      </w:rPr>
                      <w:t>Secrétariat du GAC</w:t>
                    </w:r>
                  </w:p>
                </w:txbxContent>
              </v:textbox>
            </v:shape>
          </w:pict>
        </mc:Fallback>
      </mc:AlternateContent>
    </w:r>
    <w:r w:rsidR="00414BB7">
      <w:rPr>
        <w:noProof/>
        <w:lang w:bidi="ar-SA"/>
      </w:rPr>
      <w:drawing>
        <wp:inline distT="0" distB="0" distL="0" distR="0" wp14:anchorId="2EFA62C4" wp14:editId="5654AF8C">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sidR="00414BB7">
      <w:t xml:space="preserve"> </w:t>
    </w:r>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697E" w14:textId="77777777" w:rsidR="00414BB7" w:rsidRDefault="00414BB7" w:rsidP="00C2562C">
    <w:pPr>
      <w:pStyle w:val="Header"/>
      <w:tabs>
        <w:tab w:val="clear" w:pos="9360"/>
      </w:tabs>
      <w:ind w:left="-851"/>
      <w:jc w:val="center"/>
    </w:pPr>
    <w:r>
      <w:rPr>
        <w:noProof/>
        <w:lang w:bidi="ar-SA"/>
      </w:rPr>
      <w:drawing>
        <wp:inline distT="0" distB="0" distL="0" distR="0" wp14:anchorId="1DC1CA3A" wp14:editId="2E77D99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FE7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A2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8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DE9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E4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E28A0"/>
    <w:multiLevelType w:val="hybridMultilevel"/>
    <w:tmpl w:val="EBF251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3C6B0A"/>
    <w:multiLevelType w:val="hybridMultilevel"/>
    <w:tmpl w:val="359A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AB64DA"/>
    <w:multiLevelType w:val="hybridMultilevel"/>
    <w:tmpl w:val="9FD2A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00F5E"/>
    <w:multiLevelType w:val="hybridMultilevel"/>
    <w:tmpl w:val="72A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DB7688"/>
    <w:multiLevelType w:val="hybridMultilevel"/>
    <w:tmpl w:val="3878CF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1A450202"/>
    <w:multiLevelType w:val="hybridMultilevel"/>
    <w:tmpl w:val="F7D8B8D8"/>
    <w:lvl w:ilvl="0" w:tplc="B096DDAA">
      <w:start w:val="1"/>
      <w:numFmt w:val="low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15:restartNumberingAfterBreak="0">
    <w:nsid w:val="1CB15D59"/>
    <w:multiLevelType w:val="hybridMultilevel"/>
    <w:tmpl w:val="D99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097C60"/>
    <w:multiLevelType w:val="hybridMultilevel"/>
    <w:tmpl w:val="6CA6BC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28405595"/>
    <w:multiLevelType w:val="hybridMultilevel"/>
    <w:tmpl w:val="E4FEA7BA"/>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0" w15:restartNumberingAfterBreak="0">
    <w:nsid w:val="307523C5"/>
    <w:multiLevelType w:val="hybridMultilevel"/>
    <w:tmpl w:val="039E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87A8D"/>
    <w:multiLevelType w:val="hybridMultilevel"/>
    <w:tmpl w:val="3C1A0E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041F29"/>
    <w:multiLevelType w:val="hybridMultilevel"/>
    <w:tmpl w:val="2F461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AD3707"/>
    <w:multiLevelType w:val="hybridMultilevel"/>
    <w:tmpl w:val="74EABA78"/>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4" w15:restartNumberingAfterBreak="0">
    <w:nsid w:val="431E0922"/>
    <w:multiLevelType w:val="hybridMultilevel"/>
    <w:tmpl w:val="21E47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BE08B2"/>
    <w:multiLevelType w:val="hybridMultilevel"/>
    <w:tmpl w:val="7A3255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4A245BD"/>
    <w:multiLevelType w:val="hybridMultilevel"/>
    <w:tmpl w:val="3446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024B9"/>
    <w:multiLevelType w:val="hybridMultilevel"/>
    <w:tmpl w:val="23DE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E4100"/>
    <w:multiLevelType w:val="multilevel"/>
    <w:tmpl w:val="DAA22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31" w15:restartNumberingAfterBreak="0">
    <w:nsid w:val="5C602446"/>
    <w:multiLevelType w:val="hybridMultilevel"/>
    <w:tmpl w:val="EE9EE864"/>
    <w:lvl w:ilvl="0" w:tplc="D0E229D4">
      <w:start w:val="1"/>
      <w:numFmt w:val="lowerLetter"/>
      <w:lvlText w:val="%1."/>
      <w:lvlJc w:val="left"/>
      <w:pPr>
        <w:ind w:left="720" w:hanging="360"/>
      </w:pPr>
      <w:rPr>
        <w:rFonts w:ascii="Century Gothic" w:hAnsi="Century Gothic"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F22233"/>
    <w:multiLevelType w:val="hybridMultilevel"/>
    <w:tmpl w:val="49A47A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025A17"/>
    <w:multiLevelType w:val="hybridMultilevel"/>
    <w:tmpl w:val="CE3C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93F66"/>
    <w:multiLevelType w:val="hybridMultilevel"/>
    <w:tmpl w:val="E3A842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E520D26"/>
    <w:multiLevelType w:val="hybridMultilevel"/>
    <w:tmpl w:val="403A67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354BE"/>
    <w:multiLevelType w:val="hybridMultilevel"/>
    <w:tmpl w:val="8E3AD8DC"/>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D1040D"/>
    <w:multiLevelType w:val="hybridMultilevel"/>
    <w:tmpl w:val="4516B1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70E36"/>
    <w:multiLevelType w:val="hybridMultilevel"/>
    <w:tmpl w:val="DA86D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0"/>
  </w:num>
  <w:num w:numId="13">
    <w:abstractNumId w:val="29"/>
  </w:num>
  <w:num w:numId="14">
    <w:abstractNumId w:val="13"/>
  </w:num>
  <w:num w:numId="15">
    <w:abstractNumId w:val="20"/>
  </w:num>
  <w:num w:numId="16">
    <w:abstractNumId w:val="26"/>
  </w:num>
  <w:num w:numId="17">
    <w:abstractNumId w:val="11"/>
  </w:num>
  <w:num w:numId="18">
    <w:abstractNumId w:val="17"/>
  </w:num>
  <w:num w:numId="19">
    <w:abstractNumId w:val="35"/>
  </w:num>
  <w:num w:numId="20">
    <w:abstractNumId w:val="12"/>
  </w:num>
  <w:num w:numId="21">
    <w:abstractNumId w:val="37"/>
  </w:num>
  <w:num w:numId="22">
    <w:abstractNumId w:val="22"/>
  </w:num>
  <w:num w:numId="23">
    <w:abstractNumId w:val="38"/>
  </w:num>
  <w:num w:numId="24">
    <w:abstractNumId w:val="15"/>
  </w:num>
  <w:num w:numId="25">
    <w:abstractNumId w:val="24"/>
  </w:num>
  <w:num w:numId="26">
    <w:abstractNumId w:val="25"/>
  </w:num>
  <w:num w:numId="27">
    <w:abstractNumId w:val="33"/>
  </w:num>
  <w:num w:numId="28">
    <w:abstractNumId w:val="16"/>
  </w:num>
  <w:num w:numId="29">
    <w:abstractNumId w:val="27"/>
  </w:num>
  <w:num w:numId="30">
    <w:abstractNumId w:val="19"/>
  </w:num>
  <w:num w:numId="31">
    <w:abstractNumId w:val="31"/>
  </w:num>
  <w:num w:numId="32">
    <w:abstractNumId w:val="10"/>
  </w:num>
  <w:num w:numId="33">
    <w:abstractNumId w:val="23"/>
  </w:num>
  <w:num w:numId="34">
    <w:abstractNumId w:val="21"/>
  </w:num>
  <w:num w:numId="35">
    <w:abstractNumId w:val="18"/>
  </w:num>
  <w:num w:numId="36">
    <w:abstractNumId w:val="36"/>
  </w:num>
  <w:num w:numId="37">
    <w:abstractNumId w:val="32"/>
  </w:num>
  <w:num w:numId="38">
    <w:abstractNumId w:val="3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D0C"/>
    <w:rsid w:val="0000059C"/>
    <w:rsid w:val="00010398"/>
    <w:rsid w:val="00011375"/>
    <w:rsid w:val="00017DDB"/>
    <w:rsid w:val="00023512"/>
    <w:rsid w:val="0002714F"/>
    <w:rsid w:val="000328A2"/>
    <w:rsid w:val="00051AE4"/>
    <w:rsid w:val="000762FE"/>
    <w:rsid w:val="000830E5"/>
    <w:rsid w:val="00083BC8"/>
    <w:rsid w:val="0009215F"/>
    <w:rsid w:val="00093540"/>
    <w:rsid w:val="000964B7"/>
    <w:rsid w:val="000B4BF2"/>
    <w:rsid w:val="000C0FD7"/>
    <w:rsid w:val="000C363E"/>
    <w:rsid w:val="000C5167"/>
    <w:rsid w:val="000C6B2E"/>
    <w:rsid w:val="000F4835"/>
    <w:rsid w:val="001049DD"/>
    <w:rsid w:val="00105478"/>
    <w:rsid w:val="00126B3C"/>
    <w:rsid w:val="001553D7"/>
    <w:rsid w:val="001577F4"/>
    <w:rsid w:val="0016195D"/>
    <w:rsid w:val="001739BC"/>
    <w:rsid w:val="0017576D"/>
    <w:rsid w:val="00193496"/>
    <w:rsid w:val="001A03E9"/>
    <w:rsid w:val="001B337F"/>
    <w:rsid w:val="001F1269"/>
    <w:rsid w:val="001F522A"/>
    <w:rsid w:val="002058B3"/>
    <w:rsid w:val="002110FA"/>
    <w:rsid w:val="0021574F"/>
    <w:rsid w:val="002276FD"/>
    <w:rsid w:val="00250279"/>
    <w:rsid w:val="0025104A"/>
    <w:rsid w:val="00262ACB"/>
    <w:rsid w:val="00266CAF"/>
    <w:rsid w:val="00273354"/>
    <w:rsid w:val="00273DE7"/>
    <w:rsid w:val="002A3393"/>
    <w:rsid w:val="002F7386"/>
    <w:rsid w:val="00313CEC"/>
    <w:rsid w:val="00327A1A"/>
    <w:rsid w:val="003308BB"/>
    <w:rsid w:val="003401B4"/>
    <w:rsid w:val="003643C4"/>
    <w:rsid w:val="003644DC"/>
    <w:rsid w:val="00364F2E"/>
    <w:rsid w:val="00373418"/>
    <w:rsid w:val="003952E6"/>
    <w:rsid w:val="003961C1"/>
    <w:rsid w:val="003A1AB7"/>
    <w:rsid w:val="003A38F1"/>
    <w:rsid w:val="003A6011"/>
    <w:rsid w:val="003C23AE"/>
    <w:rsid w:val="003D4677"/>
    <w:rsid w:val="003D7A8D"/>
    <w:rsid w:val="00400344"/>
    <w:rsid w:val="00406CEE"/>
    <w:rsid w:val="00412A64"/>
    <w:rsid w:val="00412D18"/>
    <w:rsid w:val="00414BB7"/>
    <w:rsid w:val="00416093"/>
    <w:rsid w:val="004256A5"/>
    <w:rsid w:val="004329CE"/>
    <w:rsid w:val="00454CBD"/>
    <w:rsid w:val="0047328E"/>
    <w:rsid w:val="00475D02"/>
    <w:rsid w:val="00481803"/>
    <w:rsid w:val="00482610"/>
    <w:rsid w:val="004837E2"/>
    <w:rsid w:val="00484344"/>
    <w:rsid w:val="00492E56"/>
    <w:rsid w:val="004951F3"/>
    <w:rsid w:val="004A58B8"/>
    <w:rsid w:val="004D1CD5"/>
    <w:rsid w:val="004E04A6"/>
    <w:rsid w:val="004E22C7"/>
    <w:rsid w:val="004E2498"/>
    <w:rsid w:val="004F2490"/>
    <w:rsid w:val="004F7DFD"/>
    <w:rsid w:val="0051347B"/>
    <w:rsid w:val="0053220F"/>
    <w:rsid w:val="00541F5E"/>
    <w:rsid w:val="00542806"/>
    <w:rsid w:val="00574D76"/>
    <w:rsid w:val="00577F86"/>
    <w:rsid w:val="00580A87"/>
    <w:rsid w:val="00591235"/>
    <w:rsid w:val="0059245A"/>
    <w:rsid w:val="00592617"/>
    <w:rsid w:val="005963C1"/>
    <w:rsid w:val="005A6672"/>
    <w:rsid w:val="005B7B51"/>
    <w:rsid w:val="005C1A9E"/>
    <w:rsid w:val="005C34B9"/>
    <w:rsid w:val="005E2917"/>
    <w:rsid w:val="005E2AFC"/>
    <w:rsid w:val="00610994"/>
    <w:rsid w:val="00616F3E"/>
    <w:rsid w:val="00624AEC"/>
    <w:rsid w:val="00641091"/>
    <w:rsid w:val="00641E9D"/>
    <w:rsid w:val="00647D6D"/>
    <w:rsid w:val="00652018"/>
    <w:rsid w:val="00652976"/>
    <w:rsid w:val="00652CC9"/>
    <w:rsid w:val="0067002E"/>
    <w:rsid w:val="006735F6"/>
    <w:rsid w:val="0067792E"/>
    <w:rsid w:val="00683C6C"/>
    <w:rsid w:val="0068512A"/>
    <w:rsid w:val="0069617F"/>
    <w:rsid w:val="00696D27"/>
    <w:rsid w:val="006C0C2E"/>
    <w:rsid w:val="00700CF9"/>
    <w:rsid w:val="00714D70"/>
    <w:rsid w:val="00722431"/>
    <w:rsid w:val="0072423D"/>
    <w:rsid w:val="007254F9"/>
    <w:rsid w:val="00731C3E"/>
    <w:rsid w:val="00740F60"/>
    <w:rsid w:val="007562E8"/>
    <w:rsid w:val="00756E0C"/>
    <w:rsid w:val="007670C2"/>
    <w:rsid w:val="00772829"/>
    <w:rsid w:val="00776376"/>
    <w:rsid w:val="007877CD"/>
    <w:rsid w:val="007A174E"/>
    <w:rsid w:val="007A6CF2"/>
    <w:rsid w:val="007A7B6C"/>
    <w:rsid w:val="007C651A"/>
    <w:rsid w:val="007D32B7"/>
    <w:rsid w:val="007E16EE"/>
    <w:rsid w:val="007F11CB"/>
    <w:rsid w:val="007F47EB"/>
    <w:rsid w:val="007F5CD3"/>
    <w:rsid w:val="00800F85"/>
    <w:rsid w:val="00801D1B"/>
    <w:rsid w:val="00815A76"/>
    <w:rsid w:val="00817EAC"/>
    <w:rsid w:val="008246F4"/>
    <w:rsid w:val="0082500F"/>
    <w:rsid w:val="00853BB5"/>
    <w:rsid w:val="00854588"/>
    <w:rsid w:val="0087059D"/>
    <w:rsid w:val="0087098A"/>
    <w:rsid w:val="008822A3"/>
    <w:rsid w:val="00882354"/>
    <w:rsid w:val="0088268E"/>
    <w:rsid w:val="00896848"/>
    <w:rsid w:val="008B2849"/>
    <w:rsid w:val="008C37FE"/>
    <w:rsid w:val="008C4F95"/>
    <w:rsid w:val="008D31F9"/>
    <w:rsid w:val="008E3BCE"/>
    <w:rsid w:val="00903001"/>
    <w:rsid w:val="00904060"/>
    <w:rsid w:val="009070C0"/>
    <w:rsid w:val="00910E19"/>
    <w:rsid w:val="009123B6"/>
    <w:rsid w:val="00920FBF"/>
    <w:rsid w:val="009673D3"/>
    <w:rsid w:val="0099631A"/>
    <w:rsid w:val="009B16D5"/>
    <w:rsid w:val="009C60E1"/>
    <w:rsid w:val="009C77A8"/>
    <w:rsid w:val="009E2D17"/>
    <w:rsid w:val="00A07882"/>
    <w:rsid w:val="00A12C22"/>
    <w:rsid w:val="00A1705A"/>
    <w:rsid w:val="00A21A3B"/>
    <w:rsid w:val="00A24449"/>
    <w:rsid w:val="00A40DB0"/>
    <w:rsid w:val="00A531D4"/>
    <w:rsid w:val="00A55D0C"/>
    <w:rsid w:val="00A660EB"/>
    <w:rsid w:val="00A779C6"/>
    <w:rsid w:val="00A86B36"/>
    <w:rsid w:val="00A9062B"/>
    <w:rsid w:val="00A9778B"/>
    <w:rsid w:val="00AA0126"/>
    <w:rsid w:val="00AA2944"/>
    <w:rsid w:val="00AA78F5"/>
    <w:rsid w:val="00AB26F7"/>
    <w:rsid w:val="00AC5490"/>
    <w:rsid w:val="00AC54BB"/>
    <w:rsid w:val="00AD1076"/>
    <w:rsid w:val="00AF5E8B"/>
    <w:rsid w:val="00B026C8"/>
    <w:rsid w:val="00B21330"/>
    <w:rsid w:val="00B22FE8"/>
    <w:rsid w:val="00B30023"/>
    <w:rsid w:val="00B4670D"/>
    <w:rsid w:val="00B72107"/>
    <w:rsid w:val="00B72D49"/>
    <w:rsid w:val="00B7340B"/>
    <w:rsid w:val="00B73F13"/>
    <w:rsid w:val="00B77372"/>
    <w:rsid w:val="00BA0533"/>
    <w:rsid w:val="00BE4850"/>
    <w:rsid w:val="00BE60A1"/>
    <w:rsid w:val="00C03AA6"/>
    <w:rsid w:val="00C114D4"/>
    <w:rsid w:val="00C1288E"/>
    <w:rsid w:val="00C144AE"/>
    <w:rsid w:val="00C21952"/>
    <w:rsid w:val="00C2562C"/>
    <w:rsid w:val="00C26F6D"/>
    <w:rsid w:val="00C3454E"/>
    <w:rsid w:val="00C50258"/>
    <w:rsid w:val="00C50C2C"/>
    <w:rsid w:val="00C71EBE"/>
    <w:rsid w:val="00C74517"/>
    <w:rsid w:val="00C863F4"/>
    <w:rsid w:val="00C86D44"/>
    <w:rsid w:val="00C9701E"/>
    <w:rsid w:val="00CD2809"/>
    <w:rsid w:val="00CD30A8"/>
    <w:rsid w:val="00CD57F8"/>
    <w:rsid w:val="00CF0606"/>
    <w:rsid w:val="00CF4236"/>
    <w:rsid w:val="00CF4E9A"/>
    <w:rsid w:val="00CF56FA"/>
    <w:rsid w:val="00D01CBD"/>
    <w:rsid w:val="00D0291F"/>
    <w:rsid w:val="00D049CB"/>
    <w:rsid w:val="00D06136"/>
    <w:rsid w:val="00D07C27"/>
    <w:rsid w:val="00D161F9"/>
    <w:rsid w:val="00D17FF3"/>
    <w:rsid w:val="00D41280"/>
    <w:rsid w:val="00D5733E"/>
    <w:rsid w:val="00D57B30"/>
    <w:rsid w:val="00D67997"/>
    <w:rsid w:val="00D67ECC"/>
    <w:rsid w:val="00D71000"/>
    <w:rsid w:val="00D761C5"/>
    <w:rsid w:val="00D86EA8"/>
    <w:rsid w:val="00D9442D"/>
    <w:rsid w:val="00D94ECA"/>
    <w:rsid w:val="00DA436F"/>
    <w:rsid w:val="00DA46B6"/>
    <w:rsid w:val="00DA5ADE"/>
    <w:rsid w:val="00DB2704"/>
    <w:rsid w:val="00DB2F1E"/>
    <w:rsid w:val="00DB4C31"/>
    <w:rsid w:val="00DC39CB"/>
    <w:rsid w:val="00DC6026"/>
    <w:rsid w:val="00DD2C34"/>
    <w:rsid w:val="00DD4EEC"/>
    <w:rsid w:val="00DE065C"/>
    <w:rsid w:val="00DE621B"/>
    <w:rsid w:val="00DF0A41"/>
    <w:rsid w:val="00DF0C5D"/>
    <w:rsid w:val="00DF5B00"/>
    <w:rsid w:val="00E016F8"/>
    <w:rsid w:val="00E0220E"/>
    <w:rsid w:val="00E06DE4"/>
    <w:rsid w:val="00E1009D"/>
    <w:rsid w:val="00E248DA"/>
    <w:rsid w:val="00E3060B"/>
    <w:rsid w:val="00E41689"/>
    <w:rsid w:val="00E52362"/>
    <w:rsid w:val="00E55284"/>
    <w:rsid w:val="00E57BDD"/>
    <w:rsid w:val="00E615C7"/>
    <w:rsid w:val="00E61DEA"/>
    <w:rsid w:val="00E64914"/>
    <w:rsid w:val="00E6685E"/>
    <w:rsid w:val="00E7196B"/>
    <w:rsid w:val="00E9134A"/>
    <w:rsid w:val="00E9160C"/>
    <w:rsid w:val="00E927F8"/>
    <w:rsid w:val="00EA3A02"/>
    <w:rsid w:val="00EC3C37"/>
    <w:rsid w:val="00ED747D"/>
    <w:rsid w:val="00ED7F28"/>
    <w:rsid w:val="00EE2665"/>
    <w:rsid w:val="00F1229D"/>
    <w:rsid w:val="00F16B9A"/>
    <w:rsid w:val="00F179A4"/>
    <w:rsid w:val="00F21D6A"/>
    <w:rsid w:val="00F24480"/>
    <w:rsid w:val="00F42A85"/>
    <w:rsid w:val="00F4462E"/>
    <w:rsid w:val="00F46F4F"/>
    <w:rsid w:val="00F53CFC"/>
    <w:rsid w:val="00F60721"/>
    <w:rsid w:val="00F60D91"/>
    <w:rsid w:val="00F6331C"/>
    <w:rsid w:val="00F9263E"/>
    <w:rsid w:val="00F96D2C"/>
    <w:rsid w:val="00FB365D"/>
    <w:rsid w:val="00FC2E8B"/>
    <w:rsid w:val="00FC4CC5"/>
    <w:rsid w:val="00FF08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15:docId w15:val="{98EF92AD-C73A-45F0-B65A-E7FF0078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fr-FR" w:eastAsia="fr-FR" w:bidi="fr-F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284"/>
    <w:rPr>
      <w:rFonts w:ascii="Times New Roman" w:eastAsia="Times New Roman" w:hAnsi="Times New Roman"/>
      <w:sz w:val="24"/>
      <w:szCs w:val="24"/>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rPr>
  </w:style>
  <w:style w:type="paragraph" w:styleId="Heading2">
    <w:name w:val="heading 2"/>
    <w:basedOn w:val="BodyText"/>
    <w:next w:val="BodyText"/>
    <w:link w:val="Heading2Char"/>
    <w:autoRedefine/>
    <w:uiPriority w:val="9"/>
    <w:unhideWhenUsed/>
    <w:qFormat/>
    <w:rsid w:val="00EE2665"/>
    <w:pPr>
      <w:keepNext/>
      <w:keepLines/>
      <w:ind w:right="545"/>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665"/>
    <w:rPr>
      <w:b/>
      <w:color w:val="1F4E79" w:themeColor="accent1" w:themeShade="80"/>
      <w:sz w:val="24"/>
      <w:szCs w:val="24"/>
      <w:lang w:eastAsia="fr-FR"/>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fr-FR"/>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FooterChar">
    <w:name w:val="Footer Char"/>
    <w:basedOn w:val="DefaultParagraphFont"/>
    <w:link w:val="Footer"/>
    <w:uiPriority w:val="99"/>
    <w:rsid w:val="00A24449"/>
    <w:rPr>
      <w:rFonts w:ascii="Century Gothic" w:hAnsi="Century Gothic"/>
      <w:szCs w:val="22"/>
      <w:lang w:val="fr-FR"/>
    </w:rPr>
  </w:style>
  <w:style w:type="character" w:customStyle="1" w:styleId="Heading1Char">
    <w:name w:val="Heading 1 Char"/>
    <w:basedOn w:val="DefaultParagraphFont"/>
    <w:link w:val="Heading1"/>
    <w:uiPriority w:val="9"/>
    <w:rsid w:val="00CF4E9A"/>
    <w:rPr>
      <w:b/>
      <w:color w:val="00408E"/>
      <w:sz w:val="28"/>
      <w:szCs w:val="28"/>
      <w:lang w:val="fr-FR" w:eastAsia="fr-FR" w:bidi="fr-FR"/>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rPr>
  </w:style>
  <w:style w:type="character" w:customStyle="1" w:styleId="BodyTextChar">
    <w:name w:val="Body Text Char"/>
    <w:basedOn w:val="DefaultParagraphFont"/>
    <w:link w:val="BodyText"/>
    <w:uiPriority w:val="99"/>
    <w:rsid w:val="004E22C7"/>
    <w:rPr>
      <w:szCs w:val="22"/>
      <w:lang w:val="fr-FR" w:eastAsia="fr-FR" w:bidi="fr-FR"/>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fr-FR"/>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fr-FR"/>
    </w:rPr>
  </w:style>
  <w:style w:type="character" w:customStyle="1" w:styleId="Heading4Char">
    <w:name w:val="Heading 4 Char"/>
    <w:basedOn w:val="DefaultParagraphFont"/>
    <w:link w:val="Heading4"/>
    <w:uiPriority w:val="9"/>
    <w:rsid w:val="004E22C7"/>
    <w:rPr>
      <w:color w:val="00408E"/>
      <w:szCs w:val="22"/>
      <w:lang w:val="fr-FR"/>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rPr>
  </w:style>
  <w:style w:type="paragraph" w:styleId="ListParagraph">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NoSpacing">
    <w:name w:val="No Spacing"/>
    <w:uiPriority w:val="1"/>
    <w:qFormat/>
    <w:rsid w:val="00C2562C"/>
    <w:pPr>
      <w:jc w:val="both"/>
    </w:pPr>
    <w:rPr>
      <w:szCs w:val="22"/>
    </w:rPr>
  </w:style>
  <w:style w:type="paragraph" w:styleId="FootnoteText">
    <w:name w:val="footnote text"/>
    <w:basedOn w:val="Normal"/>
    <w:link w:val="FootnoteTextChar"/>
    <w:uiPriority w:val="99"/>
    <w:unhideWhenUsed/>
    <w:rsid w:val="00406CEE"/>
    <w:rPr>
      <w:rFonts w:ascii="Calibri" w:hAnsi="Calibri"/>
    </w:rPr>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character" w:customStyle="1" w:styleId="apple-converted-space">
    <w:name w:val="apple-converted-space"/>
    <w:basedOn w:val="DefaultParagraphFont"/>
    <w:rsid w:val="00E1009D"/>
  </w:style>
  <w:style w:type="paragraph" w:styleId="NormalWeb">
    <w:name w:val="Normal (Web)"/>
    <w:basedOn w:val="Normal"/>
    <w:uiPriority w:val="99"/>
    <w:semiHidden/>
    <w:unhideWhenUsed/>
    <w:rsid w:val="00D761C5"/>
    <w:pPr>
      <w:spacing w:before="100" w:beforeAutospacing="1" w:after="100" w:afterAutospacing="1"/>
    </w:pPr>
    <w:rPr>
      <w:rFonts w:eastAsia="Calibri"/>
    </w:rPr>
  </w:style>
  <w:style w:type="character" w:styleId="FollowedHyperlink">
    <w:name w:val="FollowedHyperlink"/>
    <w:basedOn w:val="DefaultParagraphFont"/>
    <w:uiPriority w:val="99"/>
    <w:semiHidden/>
    <w:unhideWhenUsed/>
    <w:rsid w:val="00A9062B"/>
    <w:rPr>
      <w:color w:val="954F72" w:themeColor="followedHyperlink"/>
      <w:u w:val="single"/>
    </w:rPr>
  </w:style>
  <w:style w:type="character" w:customStyle="1" w:styleId="UnresolvedMention1">
    <w:name w:val="Unresolved Mention1"/>
    <w:basedOn w:val="DefaultParagraphFont"/>
    <w:uiPriority w:val="99"/>
    <w:rsid w:val="003D46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811">
      <w:bodyDiv w:val="1"/>
      <w:marLeft w:val="0"/>
      <w:marRight w:val="0"/>
      <w:marTop w:val="0"/>
      <w:marBottom w:val="0"/>
      <w:divBdr>
        <w:top w:val="none" w:sz="0" w:space="0" w:color="auto"/>
        <w:left w:val="none" w:sz="0" w:space="0" w:color="auto"/>
        <w:bottom w:val="none" w:sz="0" w:space="0" w:color="auto"/>
        <w:right w:val="none" w:sz="0" w:space="0" w:color="auto"/>
      </w:divBdr>
    </w:div>
    <w:div w:id="173349502">
      <w:bodyDiv w:val="1"/>
      <w:marLeft w:val="0"/>
      <w:marRight w:val="0"/>
      <w:marTop w:val="0"/>
      <w:marBottom w:val="0"/>
      <w:divBdr>
        <w:top w:val="none" w:sz="0" w:space="0" w:color="auto"/>
        <w:left w:val="none" w:sz="0" w:space="0" w:color="auto"/>
        <w:bottom w:val="none" w:sz="0" w:space="0" w:color="auto"/>
        <w:right w:val="none" w:sz="0" w:space="0" w:color="auto"/>
      </w:divBdr>
    </w:div>
    <w:div w:id="227615976">
      <w:bodyDiv w:val="1"/>
      <w:marLeft w:val="0"/>
      <w:marRight w:val="0"/>
      <w:marTop w:val="0"/>
      <w:marBottom w:val="0"/>
      <w:divBdr>
        <w:top w:val="none" w:sz="0" w:space="0" w:color="auto"/>
        <w:left w:val="none" w:sz="0" w:space="0" w:color="auto"/>
        <w:bottom w:val="none" w:sz="0" w:space="0" w:color="auto"/>
        <w:right w:val="none" w:sz="0" w:space="0" w:color="auto"/>
      </w:divBdr>
    </w:div>
    <w:div w:id="326713376">
      <w:bodyDiv w:val="1"/>
      <w:marLeft w:val="0"/>
      <w:marRight w:val="0"/>
      <w:marTop w:val="0"/>
      <w:marBottom w:val="0"/>
      <w:divBdr>
        <w:top w:val="none" w:sz="0" w:space="0" w:color="auto"/>
        <w:left w:val="none" w:sz="0" w:space="0" w:color="auto"/>
        <w:bottom w:val="none" w:sz="0" w:space="0" w:color="auto"/>
        <w:right w:val="none" w:sz="0" w:space="0" w:color="auto"/>
      </w:divBdr>
    </w:div>
    <w:div w:id="422338440">
      <w:bodyDiv w:val="1"/>
      <w:marLeft w:val="0"/>
      <w:marRight w:val="0"/>
      <w:marTop w:val="0"/>
      <w:marBottom w:val="0"/>
      <w:divBdr>
        <w:top w:val="none" w:sz="0" w:space="0" w:color="auto"/>
        <w:left w:val="none" w:sz="0" w:space="0" w:color="auto"/>
        <w:bottom w:val="none" w:sz="0" w:space="0" w:color="auto"/>
        <w:right w:val="none" w:sz="0" w:space="0" w:color="auto"/>
      </w:divBdr>
    </w:div>
    <w:div w:id="876624054">
      <w:bodyDiv w:val="1"/>
      <w:marLeft w:val="0"/>
      <w:marRight w:val="0"/>
      <w:marTop w:val="0"/>
      <w:marBottom w:val="0"/>
      <w:divBdr>
        <w:top w:val="none" w:sz="0" w:space="0" w:color="auto"/>
        <w:left w:val="none" w:sz="0" w:space="0" w:color="auto"/>
        <w:bottom w:val="none" w:sz="0" w:space="0" w:color="auto"/>
        <w:right w:val="none" w:sz="0" w:space="0" w:color="auto"/>
      </w:divBdr>
    </w:div>
    <w:div w:id="1001004843">
      <w:bodyDiv w:val="1"/>
      <w:marLeft w:val="0"/>
      <w:marRight w:val="0"/>
      <w:marTop w:val="0"/>
      <w:marBottom w:val="0"/>
      <w:divBdr>
        <w:top w:val="none" w:sz="0" w:space="0" w:color="auto"/>
        <w:left w:val="none" w:sz="0" w:space="0" w:color="auto"/>
        <w:bottom w:val="none" w:sz="0" w:space="0" w:color="auto"/>
        <w:right w:val="none" w:sz="0" w:space="0" w:color="auto"/>
      </w:divBdr>
    </w:div>
    <w:div w:id="1013723462">
      <w:bodyDiv w:val="1"/>
      <w:marLeft w:val="0"/>
      <w:marRight w:val="0"/>
      <w:marTop w:val="0"/>
      <w:marBottom w:val="0"/>
      <w:divBdr>
        <w:top w:val="none" w:sz="0" w:space="0" w:color="auto"/>
        <w:left w:val="none" w:sz="0" w:space="0" w:color="auto"/>
        <w:bottom w:val="none" w:sz="0" w:space="0" w:color="auto"/>
        <w:right w:val="none" w:sz="0" w:space="0" w:color="auto"/>
      </w:divBdr>
      <w:divsChild>
        <w:div w:id="112798337">
          <w:marLeft w:val="0"/>
          <w:marRight w:val="0"/>
          <w:marTop w:val="0"/>
          <w:marBottom w:val="0"/>
          <w:divBdr>
            <w:top w:val="none" w:sz="0" w:space="0" w:color="auto"/>
            <w:left w:val="none" w:sz="0" w:space="0" w:color="auto"/>
            <w:bottom w:val="none" w:sz="0" w:space="0" w:color="auto"/>
            <w:right w:val="none" w:sz="0" w:space="0" w:color="auto"/>
          </w:divBdr>
        </w:div>
        <w:div w:id="914826011">
          <w:marLeft w:val="0"/>
          <w:marRight w:val="0"/>
          <w:marTop w:val="0"/>
          <w:marBottom w:val="0"/>
          <w:divBdr>
            <w:top w:val="none" w:sz="0" w:space="0" w:color="auto"/>
            <w:left w:val="none" w:sz="0" w:space="0" w:color="auto"/>
            <w:bottom w:val="none" w:sz="0" w:space="0" w:color="auto"/>
            <w:right w:val="none" w:sz="0" w:space="0" w:color="auto"/>
          </w:divBdr>
        </w:div>
        <w:div w:id="1235117861">
          <w:marLeft w:val="0"/>
          <w:marRight w:val="0"/>
          <w:marTop w:val="0"/>
          <w:marBottom w:val="0"/>
          <w:divBdr>
            <w:top w:val="none" w:sz="0" w:space="0" w:color="auto"/>
            <w:left w:val="none" w:sz="0" w:space="0" w:color="auto"/>
            <w:bottom w:val="none" w:sz="0" w:space="0" w:color="auto"/>
            <w:right w:val="none" w:sz="0" w:space="0" w:color="auto"/>
          </w:divBdr>
        </w:div>
        <w:div w:id="737172097">
          <w:marLeft w:val="0"/>
          <w:marRight w:val="0"/>
          <w:marTop w:val="0"/>
          <w:marBottom w:val="0"/>
          <w:divBdr>
            <w:top w:val="none" w:sz="0" w:space="0" w:color="auto"/>
            <w:left w:val="none" w:sz="0" w:space="0" w:color="auto"/>
            <w:bottom w:val="none" w:sz="0" w:space="0" w:color="auto"/>
            <w:right w:val="none" w:sz="0" w:space="0" w:color="auto"/>
          </w:divBdr>
        </w:div>
        <w:div w:id="982736440">
          <w:marLeft w:val="0"/>
          <w:marRight w:val="0"/>
          <w:marTop w:val="0"/>
          <w:marBottom w:val="0"/>
          <w:divBdr>
            <w:top w:val="none" w:sz="0" w:space="0" w:color="auto"/>
            <w:left w:val="none" w:sz="0" w:space="0" w:color="auto"/>
            <w:bottom w:val="none" w:sz="0" w:space="0" w:color="auto"/>
            <w:right w:val="none" w:sz="0" w:space="0" w:color="auto"/>
          </w:divBdr>
        </w:div>
        <w:div w:id="724139048">
          <w:marLeft w:val="0"/>
          <w:marRight w:val="0"/>
          <w:marTop w:val="0"/>
          <w:marBottom w:val="0"/>
          <w:divBdr>
            <w:top w:val="none" w:sz="0" w:space="0" w:color="auto"/>
            <w:left w:val="none" w:sz="0" w:space="0" w:color="auto"/>
            <w:bottom w:val="none" w:sz="0" w:space="0" w:color="auto"/>
            <w:right w:val="none" w:sz="0" w:space="0" w:color="auto"/>
          </w:divBdr>
        </w:div>
        <w:div w:id="697779442">
          <w:marLeft w:val="0"/>
          <w:marRight w:val="0"/>
          <w:marTop w:val="0"/>
          <w:marBottom w:val="0"/>
          <w:divBdr>
            <w:top w:val="none" w:sz="0" w:space="0" w:color="auto"/>
            <w:left w:val="none" w:sz="0" w:space="0" w:color="auto"/>
            <w:bottom w:val="none" w:sz="0" w:space="0" w:color="auto"/>
            <w:right w:val="none" w:sz="0" w:space="0" w:color="auto"/>
          </w:divBdr>
        </w:div>
        <w:div w:id="476344248">
          <w:marLeft w:val="0"/>
          <w:marRight w:val="0"/>
          <w:marTop w:val="0"/>
          <w:marBottom w:val="0"/>
          <w:divBdr>
            <w:top w:val="none" w:sz="0" w:space="0" w:color="auto"/>
            <w:left w:val="none" w:sz="0" w:space="0" w:color="auto"/>
            <w:bottom w:val="none" w:sz="0" w:space="0" w:color="auto"/>
            <w:right w:val="none" w:sz="0" w:space="0" w:color="auto"/>
          </w:divBdr>
        </w:div>
        <w:div w:id="282854506">
          <w:marLeft w:val="0"/>
          <w:marRight w:val="0"/>
          <w:marTop w:val="0"/>
          <w:marBottom w:val="0"/>
          <w:divBdr>
            <w:top w:val="none" w:sz="0" w:space="0" w:color="auto"/>
            <w:left w:val="none" w:sz="0" w:space="0" w:color="auto"/>
            <w:bottom w:val="none" w:sz="0" w:space="0" w:color="auto"/>
            <w:right w:val="none" w:sz="0" w:space="0" w:color="auto"/>
          </w:divBdr>
        </w:div>
        <w:div w:id="1480727959">
          <w:marLeft w:val="0"/>
          <w:marRight w:val="0"/>
          <w:marTop w:val="0"/>
          <w:marBottom w:val="0"/>
          <w:divBdr>
            <w:top w:val="none" w:sz="0" w:space="0" w:color="auto"/>
            <w:left w:val="none" w:sz="0" w:space="0" w:color="auto"/>
            <w:bottom w:val="none" w:sz="0" w:space="0" w:color="auto"/>
            <w:right w:val="none" w:sz="0" w:space="0" w:color="auto"/>
          </w:divBdr>
        </w:div>
        <w:div w:id="689187096">
          <w:marLeft w:val="0"/>
          <w:marRight w:val="0"/>
          <w:marTop w:val="0"/>
          <w:marBottom w:val="0"/>
          <w:divBdr>
            <w:top w:val="none" w:sz="0" w:space="0" w:color="auto"/>
            <w:left w:val="none" w:sz="0" w:space="0" w:color="auto"/>
            <w:bottom w:val="none" w:sz="0" w:space="0" w:color="auto"/>
            <w:right w:val="none" w:sz="0" w:space="0" w:color="auto"/>
          </w:divBdr>
        </w:div>
        <w:div w:id="157429190">
          <w:marLeft w:val="0"/>
          <w:marRight w:val="0"/>
          <w:marTop w:val="0"/>
          <w:marBottom w:val="0"/>
          <w:divBdr>
            <w:top w:val="none" w:sz="0" w:space="0" w:color="auto"/>
            <w:left w:val="none" w:sz="0" w:space="0" w:color="auto"/>
            <w:bottom w:val="none" w:sz="0" w:space="0" w:color="auto"/>
            <w:right w:val="none" w:sz="0" w:space="0" w:color="auto"/>
          </w:divBdr>
        </w:div>
        <w:div w:id="265120413">
          <w:marLeft w:val="0"/>
          <w:marRight w:val="0"/>
          <w:marTop w:val="0"/>
          <w:marBottom w:val="0"/>
          <w:divBdr>
            <w:top w:val="none" w:sz="0" w:space="0" w:color="auto"/>
            <w:left w:val="none" w:sz="0" w:space="0" w:color="auto"/>
            <w:bottom w:val="none" w:sz="0" w:space="0" w:color="auto"/>
            <w:right w:val="none" w:sz="0" w:space="0" w:color="auto"/>
          </w:divBdr>
        </w:div>
        <w:div w:id="886452960">
          <w:marLeft w:val="0"/>
          <w:marRight w:val="0"/>
          <w:marTop w:val="0"/>
          <w:marBottom w:val="0"/>
          <w:divBdr>
            <w:top w:val="none" w:sz="0" w:space="0" w:color="auto"/>
            <w:left w:val="none" w:sz="0" w:space="0" w:color="auto"/>
            <w:bottom w:val="none" w:sz="0" w:space="0" w:color="auto"/>
            <w:right w:val="none" w:sz="0" w:space="0" w:color="auto"/>
          </w:divBdr>
        </w:div>
        <w:div w:id="1537814531">
          <w:marLeft w:val="0"/>
          <w:marRight w:val="0"/>
          <w:marTop w:val="0"/>
          <w:marBottom w:val="0"/>
          <w:divBdr>
            <w:top w:val="none" w:sz="0" w:space="0" w:color="auto"/>
            <w:left w:val="none" w:sz="0" w:space="0" w:color="auto"/>
            <w:bottom w:val="none" w:sz="0" w:space="0" w:color="auto"/>
            <w:right w:val="none" w:sz="0" w:space="0" w:color="auto"/>
          </w:divBdr>
        </w:div>
        <w:div w:id="1716663065">
          <w:marLeft w:val="0"/>
          <w:marRight w:val="0"/>
          <w:marTop w:val="0"/>
          <w:marBottom w:val="0"/>
          <w:divBdr>
            <w:top w:val="none" w:sz="0" w:space="0" w:color="auto"/>
            <w:left w:val="none" w:sz="0" w:space="0" w:color="auto"/>
            <w:bottom w:val="none" w:sz="0" w:space="0" w:color="auto"/>
            <w:right w:val="none" w:sz="0" w:space="0" w:color="auto"/>
          </w:divBdr>
        </w:div>
        <w:div w:id="1286153165">
          <w:marLeft w:val="0"/>
          <w:marRight w:val="0"/>
          <w:marTop w:val="0"/>
          <w:marBottom w:val="0"/>
          <w:divBdr>
            <w:top w:val="none" w:sz="0" w:space="0" w:color="auto"/>
            <w:left w:val="none" w:sz="0" w:space="0" w:color="auto"/>
            <w:bottom w:val="none" w:sz="0" w:space="0" w:color="auto"/>
            <w:right w:val="none" w:sz="0" w:space="0" w:color="auto"/>
          </w:divBdr>
        </w:div>
        <w:div w:id="40515885">
          <w:marLeft w:val="0"/>
          <w:marRight w:val="0"/>
          <w:marTop w:val="0"/>
          <w:marBottom w:val="0"/>
          <w:divBdr>
            <w:top w:val="none" w:sz="0" w:space="0" w:color="auto"/>
            <w:left w:val="none" w:sz="0" w:space="0" w:color="auto"/>
            <w:bottom w:val="none" w:sz="0" w:space="0" w:color="auto"/>
            <w:right w:val="none" w:sz="0" w:space="0" w:color="auto"/>
          </w:divBdr>
        </w:div>
        <w:div w:id="133064502">
          <w:marLeft w:val="0"/>
          <w:marRight w:val="0"/>
          <w:marTop w:val="0"/>
          <w:marBottom w:val="0"/>
          <w:divBdr>
            <w:top w:val="none" w:sz="0" w:space="0" w:color="auto"/>
            <w:left w:val="none" w:sz="0" w:space="0" w:color="auto"/>
            <w:bottom w:val="none" w:sz="0" w:space="0" w:color="auto"/>
            <w:right w:val="none" w:sz="0" w:space="0" w:color="auto"/>
          </w:divBdr>
        </w:div>
        <w:div w:id="1015575113">
          <w:marLeft w:val="0"/>
          <w:marRight w:val="0"/>
          <w:marTop w:val="0"/>
          <w:marBottom w:val="0"/>
          <w:divBdr>
            <w:top w:val="none" w:sz="0" w:space="0" w:color="auto"/>
            <w:left w:val="none" w:sz="0" w:space="0" w:color="auto"/>
            <w:bottom w:val="none" w:sz="0" w:space="0" w:color="auto"/>
            <w:right w:val="none" w:sz="0" w:space="0" w:color="auto"/>
          </w:divBdr>
        </w:div>
        <w:div w:id="77289196">
          <w:marLeft w:val="0"/>
          <w:marRight w:val="0"/>
          <w:marTop w:val="0"/>
          <w:marBottom w:val="0"/>
          <w:divBdr>
            <w:top w:val="none" w:sz="0" w:space="0" w:color="auto"/>
            <w:left w:val="none" w:sz="0" w:space="0" w:color="auto"/>
            <w:bottom w:val="none" w:sz="0" w:space="0" w:color="auto"/>
            <w:right w:val="none" w:sz="0" w:space="0" w:color="auto"/>
          </w:divBdr>
        </w:div>
      </w:divsChild>
    </w:div>
    <w:div w:id="1481652558">
      <w:bodyDiv w:val="1"/>
      <w:marLeft w:val="0"/>
      <w:marRight w:val="0"/>
      <w:marTop w:val="0"/>
      <w:marBottom w:val="0"/>
      <w:divBdr>
        <w:top w:val="none" w:sz="0" w:space="0" w:color="auto"/>
        <w:left w:val="none" w:sz="0" w:space="0" w:color="auto"/>
        <w:bottom w:val="none" w:sz="0" w:space="0" w:color="auto"/>
        <w:right w:val="none" w:sz="0" w:space="0" w:color="auto"/>
      </w:divBdr>
    </w:div>
    <w:div w:id="14903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c.icann.org/activity/gac-capacity-development-workshops-2017-2018" TargetMode="External"/><Relationship Id="rId13" Type="http://schemas.openxmlformats.org/officeDocument/2006/relationships/hyperlink" Target="https://www.icann.org/public-comments/travel-support-guidelines-2018-05-30-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c.icann.org/sessions/gac-introductory-webinar-series-icann-s-complaint-off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c.icann.org/sessions/gac-introductory-webinar-series-about-the-gnso-and-policy-development-process-pd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ac.icann.org/sessions/gac-introductory-webinar-series-information-transparency-initiative-i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ac.icann.org/activity/gac-introductory-webinar-series-pilot-edi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A596E-0903-40A9-B136-718CBDFE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8021</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LS Pros</cp:lastModifiedBy>
  <cp:revision>9</cp:revision>
  <cp:lastPrinted>2013-11-27T05:14:00Z</cp:lastPrinted>
  <dcterms:created xsi:type="dcterms:W3CDTF">2018-06-07T03:41:00Z</dcterms:created>
  <dcterms:modified xsi:type="dcterms:W3CDTF">2018-07-02T18:59:00Z</dcterms:modified>
</cp:coreProperties>
</file>